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BC466">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附件一:</w:t>
      </w:r>
    </w:p>
    <w:p w14:paraId="3F696E8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上饶卫生健康职业学院（上饶卫生学校）</w:t>
      </w:r>
    </w:p>
    <w:p w14:paraId="35EE659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安保服务项目采购需求</w:t>
      </w:r>
    </w:p>
    <w:p w14:paraId="75BCF14D">
      <w:pPr>
        <w:keepNext w:val="0"/>
        <w:keepLines w:val="0"/>
        <w:pageBreakBefore w:val="0"/>
        <w:kinsoku/>
        <w:wordWrap/>
        <w:overflowPunct/>
        <w:topLinePunct w:val="0"/>
        <w:bidi w:val="0"/>
        <w:adjustRightInd/>
        <w:snapToGrid/>
        <w:spacing w:line="576" w:lineRule="exact"/>
        <w:rPr>
          <w:rFonts w:hint="eastAsia" w:ascii="仿宋_GB2312" w:hAnsi="仿宋_GB2312" w:eastAsia="仿宋_GB2312" w:cs="仿宋_GB2312"/>
          <w:b/>
          <w:bCs w:val="0"/>
          <w:sz w:val="24"/>
          <w:szCs w:val="24"/>
          <w:highlight w:val="none"/>
          <w:lang w:val="en-US" w:eastAsia="zh-CN"/>
        </w:rPr>
      </w:pPr>
      <w:r>
        <w:rPr>
          <w:rFonts w:hint="eastAsia" w:ascii="仿宋_GB2312" w:hAnsi="仿宋_GB2312" w:eastAsia="仿宋_GB2312" w:cs="仿宋_GB2312"/>
          <w:b/>
          <w:bCs w:val="0"/>
          <w:sz w:val="24"/>
          <w:szCs w:val="24"/>
          <w:highlight w:val="none"/>
          <w:lang w:val="en-US" w:eastAsia="zh-CN"/>
        </w:rPr>
        <w:t>一</w:t>
      </w:r>
      <w:r>
        <w:rPr>
          <w:rFonts w:hint="eastAsia" w:ascii="仿宋_GB2312" w:hAnsi="仿宋_GB2312" w:eastAsia="仿宋_GB2312" w:cs="仿宋_GB2312"/>
          <w:b/>
          <w:bCs w:val="0"/>
          <w:sz w:val="24"/>
          <w:szCs w:val="24"/>
          <w:highlight w:val="none"/>
        </w:rPr>
        <w:t>、项目概况</w:t>
      </w:r>
      <w:r>
        <w:rPr>
          <w:rFonts w:hint="eastAsia" w:ascii="仿宋_GB2312" w:hAnsi="仿宋_GB2312" w:eastAsia="仿宋_GB2312" w:cs="仿宋_GB2312"/>
          <w:b/>
          <w:bCs w:val="0"/>
          <w:sz w:val="24"/>
          <w:szCs w:val="24"/>
          <w:highlight w:val="none"/>
          <w:lang w:val="en-US" w:eastAsia="zh-CN"/>
        </w:rPr>
        <w:t>及内容</w:t>
      </w:r>
    </w:p>
    <w:p w14:paraId="4570783A">
      <w:pPr>
        <w:keepNext w:val="0"/>
        <w:keepLines w:val="0"/>
        <w:pageBreakBefore w:val="0"/>
        <w:widowControl/>
        <w:suppressLineNumbers w:val="0"/>
        <w:kinsoku/>
        <w:wordWrap/>
        <w:overflowPunct/>
        <w:topLinePunct w:val="0"/>
        <w:bidi w:val="0"/>
        <w:adjustRightInd/>
        <w:snapToGrid/>
        <w:spacing w:line="576" w:lineRule="exact"/>
        <w:ind w:firstLine="480" w:firstLineChars="200"/>
        <w:jc w:val="left"/>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上饶卫生健康职业学院位于江西省上饶市，是经江西省人民政府批准，国家教育部备案的公办全日制专科层次普通高等学校。学院总占地面积816亩现学生规模约6500余人、教职工约542人。一期项目300亩已建设完成。拥有现代化学生公寓、体艺楼、图书馆等生活学习场所，教学、实训等功能设施。学院总建筑面积20余万平方米，建有田径运动场、足球场、篮球场、排球场、网球场、羽毛球场等多个运动场。</w:t>
      </w:r>
    </w:p>
    <w:p w14:paraId="65BD9ACA">
      <w:pPr>
        <w:pStyle w:val="5"/>
        <w:keepNext w:val="0"/>
        <w:keepLines w:val="0"/>
        <w:pageBreakBefore w:val="0"/>
        <w:kinsoku/>
        <w:wordWrap/>
        <w:overflowPunct/>
        <w:topLinePunct w:val="0"/>
        <w:bidi w:val="0"/>
        <w:adjustRightInd/>
        <w:snapToGrid/>
        <w:spacing w:after="0" w:afterLines="0" w:line="576" w:lineRule="exact"/>
        <w:ind w:firstLine="480" w:firstLineChars="200"/>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rPr>
        <w:t>根据学校工作的需求，现需招聘一家保安公司</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由保安公司派遣安保人员</w:t>
      </w:r>
      <w:r>
        <w:rPr>
          <w:rFonts w:hint="eastAsia" w:ascii="仿宋_GB2312" w:hAnsi="仿宋_GB2312" w:eastAsia="仿宋_GB2312" w:cs="仿宋_GB2312"/>
          <w:sz w:val="24"/>
          <w:szCs w:val="24"/>
          <w:highlight w:val="none"/>
          <w:lang w:val="en-US" w:eastAsia="zh-CN"/>
        </w:rPr>
        <w:t>25</w:t>
      </w:r>
      <w:r>
        <w:rPr>
          <w:rFonts w:hint="eastAsia" w:ascii="仿宋_GB2312" w:hAnsi="仿宋_GB2312" w:eastAsia="仿宋_GB2312" w:cs="仿宋_GB2312"/>
          <w:sz w:val="24"/>
          <w:szCs w:val="24"/>
          <w:highlight w:val="none"/>
        </w:rPr>
        <w:t>名。</w:t>
      </w:r>
      <w:r>
        <w:rPr>
          <w:rFonts w:hint="eastAsia" w:ascii="仿宋_GB2312" w:hAnsi="仿宋_GB2312" w:eastAsia="仿宋_GB2312" w:cs="仿宋_GB2312"/>
          <w:sz w:val="24"/>
          <w:szCs w:val="24"/>
          <w:highlight w:val="none"/>
          <w:lang w:val="en-US" w:eastAsia="zh-CN"/>
        </w:rPr>
        <w:t>各岗位人员要求：各岗位人员服从相关领导的工作安排，遵守学校的相关纪律要求，品德高尚，作风正派，责任心强，关心热爱学生，身体、心理健康（不能有肝炎、肺结核等传染病，不能有精神病），吃苦耐劳。具体个岗位要求如下：</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3"/>
        <w:gridCol w:w="1438"/>
        <w:gridCol w:w="911"/>
        <w:gridCol w:w="2138"/>
        <w:gridCol w:w="2432"/>
      </w:tblGrid>
      <w:tr w14:paraId="24A1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03" w:type="dxa"/>
            <w:vAlign w:val="center"/>
          </w:tcPr>
          <w:p w14:paraId="53850CAA">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项目</w:t>
            </w:r>
          </w:p>
        </w:tc>
        <w:tc>
          <w:tcPr>
            <w:tcW w:w="1438" w:type="dxa"/>
            <w:vAlign w:val="center"/>
          </w:tcPr>
          <w:p w14:paraId="10D7A541">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bCs/>
                <w:color w:val="000000"/>
                <w:sz w:val="24"/>
                <w:szCs w:val="24"/>
                <w:vertAlign w:val="baseline"/>
                <w:lang w:val="en-US" w:eastAsia="zh-CN"/>
              </w:rPr>
              <w:t>服务区域</w:t>
            </w:r>
          </w:p>
        </w:tc>
        <w:tc>
          <w:tcPr>
            <w:tcW w:w="911" w:type="dxa"/>
            <w:shd w:val="clear" w:color="auto" w:fill="auto"/>
            <w:vAlign w:val="center"/>
          </w:tcPr>
          <w:p w14:paraId="69897614">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color w:val="000000"/>
                <w:kern w:val="2"/>
                <w:sz w:val="24"/>
                <w:szCs w:val="24"/>
                <w:vertAlign w:val="baseline"/>
                <w:lang w:val="en-US" w:eastAsia="zh-CN" w:bidi="ar-SA"/>
              </w:rPr>
            </w:pPr>
            <w:r>
              <w:rPr>
                <w:rFonts w:hint="eastAsia" w:ascii="仿宋_GB2312" w:hAnsi="仿宋_GB2312" w:eastAsia="仿宋_GB2312" w:cs="仿宋_GB2312"/>
                <w:b/>
                <w:bCs/>
                <w:color w:val="000000"/>
                <w:sz w:val="24"/>
                <w:szCs w:val="24"/>
                <w:vertAlign w:val="baseline"/>
                <w:lang w:val="en-US" w:eastAsia="zh-CN"/>
              </w:rPr>
              <w:t>服务人员数量</w:t>
            </w:r>
          </w:p>
        </w:tc>
        <w:tc>
          <w:tcPr>
            <w:tcW w:w="2138" w:type="dxa"/>
            <w:shd w:val="clear" w:color="auto" w:fill="auto"/>
            <w:vAlign w:val="center"/>
          </w:tcPr>
          <w:p w14:paraId="4361285D">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color w:val="000000"/>
                <w:kern w:val="2"/>
                <w:sz w:val="24"/>
                <w:szCs w:val="24"/>
                <w:vertAlign w:val="baseline"/>
                <w:lang w:val="en-US" w:eastAsia="zh-CN" w:bidi="ar-SA"/>
              </w:rPr>
            </w:pPr>
            <w:r>
              <w:rPr>
                <w:rFonts w:hint="eastAsia" w:ascii="仿宋_GB2312" w:hAnsi="仿宋_GB2312" w:eastAsia="仿宋_GB2312" w:cs="仿宋_GB2312"/>
                <w:b/>
                <w:bCs/>
                <w:sz w:val="24"/>
                <w:szCs w:val="24"/>
                <w:highlight w:val="none"/>
              </w:rPr>
              <w:t>人员要求</w:t>
            </w:r>
          </w:p>
        </w:tc>
        <w:tc>
          <w:tcPr>
            <w:tcW w:w="2432" w:type="dxa"/>
            <w:shd w:val="clear" w:color="auto" w:fill="auto"/>
            <w:vAlign w:val="center"/>
          </w:tcPr>
          <w:p w14:paraId="6C499ED7">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lang w:eastAsia="zh-CN"/>
              </w:rPr>
              <w:t>备注</w:t>
            </w:r>
          </w:p>
        </w:tc>
      </w:tr>
      <w:tr w14:paraId="65BF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03" w:type="dxa"/>
            <w:vAlign w:val="center"/>
          </w:tcPr>
          <w:p w14:paraId="5C0238BD">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sz w:val="24"/>
                <w:szCs w:val="24"/>
                <w:highlight w:val="none"/>
                <w:lang w:eastAsia="zh-CN"/>
              </w:rPr>
              <w:t>管理人员</w:t>
            </w:r>
          </w:p>
        </w:tc>
        <w:tc>
          <w:tcPr>
            <w:tcW w:w="1438" w:type="dxa"/>
            <w:vAlign w:val="center"/>
          </w:tcPr>
          <w:p w14:paraId="46F33D8A">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color w:val="000000"/>
                <w:sz w:val="24"/>
                <w:szCs w:val="24"/>
                <w:vertAlign w:val="baseline"/>
                <w:lang w:val="en-US" w:eastAsia="zh-CN"/>
              </w:rPr>
            </w:pPr>
            <w:r>
              <w:rPr>
                <w:rFonts w:hint="eastAsia" w:ascii="仿宋_GB2312" w:hAnsi="仿宋_GB2312" w:eastAsia="仿宋_GB2312" w:cs="仿宋_GB2312"/>
                <w:b w:val="0"/>
                <w:bCs w:val="0"/>
                <w:color w:val="000000"/>
                <w:spacing w:val="-2"/>
                <w:sz w:val="24"/>
                <w:szCs w:val="24"/>
              </w:rPr>
              <w:t>全面负责校园</w:t>
            </w:r>
            <w:r>
              <w:rPr>
                <w:rFonts w:hint="eastAsia" w:ascii="仿宋_GB2312" w:hAnsi="仿宋_GB2312" w:eastAsia="仿宋_GB2312" w:cs="仿宋_GB2312"/>
                <w:b w:val="0"/>
                <w:bCs w:val="0"/>
                <w:color w:val="000000"/>
                <w:spacing w:val="-2"/>
                <w:sz w:val="24"/>
                <w:szCs w:val="24"/>
                <w:lang w:eastAsia="zh-CN"/>
              </w:rPr>
              <w:t>安保工作</w:t>
            </w:r>
          </w:p>
        </w:tc>
        <w:tc>
          <w:tcPr>
            <w:tcW w:w="911" w:type="dxa"/>
            <w:shd w:val="clear" w:color="auto" w:fill="auto"/>
            <w:vAlign w:val="center"/>
          </w:tcPr>
          <w:p w14:paraId="3368E437">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color w:val="000000"/>
                <w:kern w:val="2"/>
                <w:sz w:val="24"/>
                <w:szCs w:val="24"/>
                <w:vertAlign w:val="baseline"/>
                <w:lang w:val="en-US" w:eastAsia="zh-CN" w:bidi="ar-SA"/>
              </w:rPr>
            </w:pPr>
            <w:r>
              <w:rPr>
                <w:rFonts w:hint="eastAsia" w:ascii="仿宋_GB2312" w:hAnsi="仿宋_GB2312" w:eastAsia="仿宋_GB2312" w:cs="仿宋_GB2312"/>
                <w:b/>
                <w:bCs/>
                <w:color w:val="000000"/>
                <w:sz w:val="24"/>
                <w:szCs w:val="24"/>
                <w:vertAlign w:val="baseline"/>
                <w:lang w:val="en-US" w:eastAsia="zh-CN"/>
              </w:rPr>
              <w:t>1</w:t>
            </w:r>
          </w:p>
        </w:tc>
        <w:tc>
          <w:tcPr>
            <w:tcW w:w="2138" w:type="dxa"/>
            <w:shd w:val="clear" w:color="auto" w:fill="auto"/>
            <w:vAlign w:val="center"/>
          </w:tcPr>
          <w:p w14:paraId="7D233C0F">
            <w:pPr>
              <w:pStyle w:val="15"/>
              <w:keepNext w:val="0"/>
              <w:keepLines w:val="0"/>
              <w:pageBreakBefore w:val="0"/>
              <w:widowControl w:val="0"/>
              <w:kinsoku/>
              <w:wordWrap/>
              <w:overflowPunct/>
              <w:topLinePunct w:val="0"/>
              <w:bidi w:val="0"/>
              <w:adjustRightInd/>
              <w:snapToGrid/>
              <w:spacing w:line="576" w:lineRule="exact"/>
              <w:ind w:left="106" w:leftChars="0" w:right="94" w:rightChars="0"/>
              <w:jc w:val="center"/>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
              </w:rPr>
              <w:t>3年以上安保服务管理工作经验</w:t>
            </w:r>
          </w:p>
        </w:tc>
        <w:tc>
          <w:tcPr>
            <w:tcW w:w="2432" w:type="dxa"/>
            <w:shd w:val="clear" w:color="auto" w:fill="auto"/>
            <w:vAlign w:val="center"/>
          </w:tcPr>
          <w:p w14:paraId="337B3BFD">
            <w:pPr>
              <w:pStyle w:val="5"/>
              <w:keepNext w:val="0"/>
              <w:keepLines w:val="0"/>
              <w:pageBreakBefore w:val="0"/>
              <w:widowControl w:val="0"/>
              <w:kinsoku/>
              <w:wordWrap/>
              <w:overflowPunct/>
              <w:topLinePunct w:val="0"/>
              <w:bidi w:val="0"/>
              <w:adjustRightInd/>
              <w:snapToGrid/>
              <w:spacing w:after="0" w:afterLines="0" w:afterAutospacing="0" w:line="576" w:lineRule="exact"/>
              <w:jc w:val="center"/>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sz w:val="24"/>
                <w:szCs w:val="24"/>
                <w:highlight w:val="none"/>
              </w:rPr>
              <w:t>复、转、退军人</w:t>
            </w:r>
            <w:r>
              <w:rPr>
                <w:rFonts w:hint="eastAsia" w:ascii="仿宋_GB2312" w:hAnsi="仿宋_GB2312" w:eastAsia="仿宋_GB2312" w:cs="仿宋_GB2312"/>
                <w:sz w:val="24"/>
                <w:szCs w:val="24"/>
                <w:highlight w:val="none"/>
                <w:lang w:eastAsia="zh-CN"/>
              </w:rPr>
              <w:t>优先</w:t>
            </w:r>
          </w:p>
        </w:tc>
      </w:tr>
      <w:tr w14:paraId="7BF4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vAlign w:val="center"/>
          </w:tcPr>
          <w:p w14:paraId="029AE011">
            <w:pPr>
              <w:pStyle w:val="5"/>
              <w:keepNext w:val="0"/>
              <w:keepLines w:val="0"/>
              <w:pageBreakBefore w:val="0"/>
              <w:widowControl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vertAlign w:val="baseline"/>
                <w:lang w:val="en-US" w:eastAsia="zh-CN"/>
              </w:rPr>
            </w:pPr>
            <w:r>
              <w:rPr>
                <w:rFonts w:hint="eastAsia" w:ascii="仿宋_GB2312" w:hAnsi="仿宋_GB2312" w:eastAsia="仿宋_GB2312" w:cs="仿宋_GB2312"/>
                <w:b w:val="0"/>
                <w:bCs w:val="0"/>
                <w:color w:val="000000"/>
                <w:sz w:val="24"/>
                <w:szCs w:val="24"/>
                <w:lang w:val="en-US" w:eastAsia="zh-CN"/>
              </w:rPr>
              <w:t>门岗安保</w:t>
            </w:r>
          </w:p>
        </w:tc>
        <w:tc>
          <w:tcPr>
            <w:tcW w:w="1438" w:type="dxa"/>
            <w:vAlign w:val="center"/>
          </w:tcPr>
          <w:p w14:paraId="5B4EF32C">
            <w:pPr>
              <w:pStyle w:val="5"/>
              <w:keepNext w:val="0"/>
              <w:keepLines w:val="0"/>
              <w:pageBreakBefore w:val="0"/>
              <w:widowControl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vertAlign w:val="baseline"/>
                <w:lang w:val="en-US" w:eastAsia="zh-CN"/>
              </w:rPr>
            </w:pPr>
            <w:r>
              <w:rPr>
                <w:rFonts w:hint="eastAsia" w:ascii="仿宋_GB2312" w:hAnsi="仿宋_GB2312" w:eastAsia="仿宋_GB2312" w:cs="仿宋_GB2312"/>
                <w:b w:val="0"/>
                <w:bCs w:val="0"/>
                <w:color w:val="000000"/>
                <w:spacing w:val="-2"/>
                <w:sz w:val="24"/>
                <w:szCs w:val="24"/>
                <w:lang w:val="en-US" w:eastAsia="zh-CN"/>
              </w:rPr>
              <w:t>学校大门</w:t>
            </w:r>
          </w:p>
        </w:tc>
        <w:tc>
          <w:tcPr>
            <w:tcW w:w="911" w:type="dxa"/>
            <w:shd w:val="clear" w:color="auto" w:fill="auto"/>
            <w:vAlign w:val="center"/>
          </w:tcPr>
          <w:p w14:paraId="36652A38">
            <w:pPr>
              <w:pStyle w:val="5"/>
              <w:keepNext w:val="0"/>
              <w:keepLines w:val="0"/>
              <w:pageBreakBefore w:val="0"/>
              <w:widowControl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kern w:val="2"/>
                <w:sz w:val="24"/>
                <w:szCs w:val="24"/>
                <w:vertAlign w:val="baseline"/>
                <w:lang w:val="en-US" w:eastAsia="zh-CN" w:bidi="ar-SA"/>
              </w:rPr>
            </w:pPr>
            <w:r>
              <w:rPr>
                <w:rFonts w:hint="eastAsia" w:ascii="仿宋_GB2312" w:hAnsi="仿宋_GB2312" w:eastAsia="仿宋_GB2312" w:cs="仿宋_GB2312"/>
                <w:b w:val="0"/>
                <w:bCs w:val="0"/>
                <w:color w:val="000000"/>
                <w:sz w:val="24"/>
                <w:szCs w:val="24"/>
                <w:lang w:val="en-US" w:eastAsia="zh-CN"/>
              </w:rPr>
              <w:t>16</w:t>
            </w:r>
          </w:p>
        </w:tc>
        <w:tc>
          <w:tcPr>
            <w:tcW w:w="2138" w:type="dxa"/>
            <w:shd w:val="clear" w:color="auto" w:fill="auto"/>
            <w:vAlign w:val="center"/>
          </w:tcPr>
          <w:p w14:paraId="348273C3">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sz w:val="24"/>
                <w:szCs w:val="24"/>
                <w:highlight w:val="none"/>
              </w:rPr>
              <w:t>退伍军人</w:t>
            </w:r>
            <w:r>
              <w:rPr>
                <w:rFonts w:hint="eastAsia" w:ascii="仿宋_GB2312" w:hAnsi="仿宋_GB2312" w:eastAsia="仿宋_GB2312" w:cs="仿宋_GB2312"/>
                <w:sz w:val="24"/>
                <w:szCs w:val="24"/>
                <w:highlight w:val="none"/>
                <w:lang w:eastAsia="zh-CN"/>
              </w:rPr>
              <w:t>优先</w:t>
            </w:r>
          </w:p>
        </w:tc>
        <w:tc>
          <w:tcPr>
            <w:tcW w:w="2432" w:type="dxa"/>
            <w:shd w:val="clear" w:color="auto" w:fill="auto"/>
            <w:vAlign w:val="center"/>
          </w:tcPr>
          <w:p w14:paraId="2BB30658">
            <w:pPr>
              <w:keepNext w:val="0"/>
              <w:keepLines w:val="0"/>
              <w:pageBreakBefore w:val="0"/>
              <w:kinsoku/>
              <w:wordWrap/>
              <w:overflowPunct/>
              <w:topLinePunct w:val="0"/>
              <w:bidi w:val="0"/>
              <w:adjustRightInd/>
              <w:snapToGrid/>
              <w:spacing w:line="576" w:lineRule="exact"/>
              <w:jc w:val="center"/>
              <w:rPr>
                <w:rFonts w:hint="default"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sz w:val="24"/>
                <w:szCs w:val="24"/>
                <w:highlight w:val="none"/>
                <w:lang w:val="en-US" w:eastAsia="zh-CN"/>
              </w:rPr>
              <w:t>限男性，</w:t>
            </w:r>
            <w:r>
              <w:rPr>
                <w:rFonts w:hint="eastAsia" w:ascii="仿宋_GB2312" w:hAnsi="仿宋_GB2312" w:eastAsia="仿宋_GB2312" w:cs="仿宋_GB2312"/>
                <w:color w:val="auto"/>
                <w:sz w:val="24"/>
                <w:szCs w:val="24"/>
                <w:highlight w:val="none"/>
                <w:lang w:val="en-US" w:eastAsia="zh-CN"/>
              </w:rPr>
              <w:t>年龄50周岁以下</w:t>
            </w:r>
            <w:r>
              <w:rPr>
                <w:rFonts w:hint="eastAsia" w:ascii="仿宋_GB2312" w:hAnsi="仿宋_GB2312" w:eastAsia="仿宋_GB2312" w:cs="仿宋_GB2312"/>
                <w:sz w:val="24"/>
                <w:szCs w:val="24"/>
                <w:highlight w:val="none"/>
                <w:lang w:val="en-US" w:eastAsia="zh-CN"/>
              </w:rPr>
              <w:t>。</w:t>
            </w:r>
          </w:p>
        </w:tc>
      </w:tr>
      <w:tr w14:paraId="1CB5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vAlign w:val="center"/>
          </w:tcPr>
          <w:p w14:paraId="27B646DD">
            <w:pPr>
              <w:pStyle w:val="15"/>
              <w:keepNext w:val="0"/>
              <w:keepLines w:val="0"/>
              <w:pageBreakBefore w:val="0"/>
              <w:widowControl w:val="0"/>
              <w:kinsoku/>
              <w:wordWrap/>
              <w:overflowPunct/>
              <w:topLinePunct w:val="0"/>
              <w:bidi w:val="0"/>
              <w:adjustRightInd/>
              <w:snapToGrid/>
              <w:spacing w:line="576" w:lineRule="exact"/>
              <w:ind w:right="132" w:rightChars="0"/>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sz w:val="24"/>
                <w:szCs w:val="24"/>
                <w:highlight w:val="none"/>
                <w:lang w:val="en-US" w:eastAsia="zh-CN"/>
              </w:rPr>
              <w:t>校园“110”</w:t>
            </w:r>
            <w:r>
              <w:rPr>
                <w:rFonts w:hint="eastAsia" w:ascii="仿宋_GB2312" w:hAnsi="仿宋_GB2312" w:eastAsia="仿宋_GB2312" w:cs="仿宋_GB2312"/>
                <w:sz w:val="24"/>
                <w:szCs w:val="24"/>
                <w:highlight w:val="none"/>
              </w:rPr>
              <w:t>安保</w:t>
            </w:r>
          </w:p>
        </w:tc>
        <w:tc>
          <w:tcPr>
            <w:tcW w:w="1438" w:type="dxa"/>
            <w:vAlign w:val="center"/>
          </w:tcPr>
          <w:p w14:paraId="7974E4DF">
            <w:pPr>
              <w:pStyle w:val="15"/>
              <w:keepNext w:val="0"/>
              <w:keepLines w:val="0"/>
              <w:pageBreakBefore w:val="0"/>
              <w:widowControl w:val="0"/>
              <w:kinsoku/>
              <w:wordWrap/>
              <w:overflowPunct/>
              <w:topLinePunct w:val="0"/>
              <w:bidi w:val="0"/>
              <w:adjustRightInd/>
              <w:snapToGrid/>
              <w:spacing w:line="576" w:lineRule="exact"/>
              <w:ind w:left="107" w:leftChars="0" w:right="-15" w:rightChars="0"/>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校园“110”指挥中心</w:t>
            </w:r>
          </w:p>
        </w:tc>
        <w:tc>
          <w:tcPr>
            <w:tcW w:w="911" w:type="dxa"/>
            <w:shd w:val="clear" w:color="auto" w:fill="auto"/>
            <w:vAlign w:val="center"/>
          </w:tcPr>
          <w:p w14:paraId="3484D4D1">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2</w:t>
            </w:r>
          </w:p>
        </w:tc>
        <w:tc>
          <w:tcPr>
            <w:tcW w:w="2138" w:type="dxa"/>
            <w:shd w:val="clear" w:color="auto" w:fill="auto"/>
            <w:vAlign w:val="center"/>
          </w:tcPr>
          <w:p w14:paraId="7A880266">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中</w:t>
            </w:r>
            <w:r>
              <w:rPr>
                <w:rFonts w:hint="eastAsia" w:ascii="仿宋_GB2312" w:hAnsi="仿宋_GB2312" w:eastAsia="仿宋_GB2312" w:cs="仿宋_GB2312"/>
                <w:sz w:val="24"/>
                <w:szCs w:val="24"/>
                <w:highlight w:val="none"/>
                <w:lang w:eastAsia="zh-CN"/>
              </w:rPr>
              <w:t>专及</w:t>
            </w:r>
            <w:r>
              <w:rPr>
                <w:rFonts w:hint="eastAsia" w:ascii="仿宋_GB2312" w:hAnsi="仿宋_GB2312" w:eastAsia="仿宋_GB2312" w:cs="仿宋_GB2312"/>
                <w:sz w:val="24"/>
                <w:szCs w:val="24"/>
                <w:highlight w:val="none"/>
              </w:rPr>
              <w:t>以上学历</w:t>
            </w:r>
          </w:p>
        </w:tc>
        <w:tc>
          <w:tcPr>
            <w:tcW w:w="2432" w:type="dxa"/>
            <w:shd w:val="clear" w:color="auto" w:fill="auto"/>
            <w:vAlign w:val="center"/>
          </w:tcPr>
          <w:p w14:paraId="47CC9D41">
            <w:pPr>
              <w:pStyle w:val="13"/>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sz w:val="24"/>
                <w:szCs w:val="24"/>
                <w:highlight w:val="none"/>
                <w:lang w:val="en-US" w:eastAsia="zh-CN"/>
              </w:rPr>
              <w:t>限女性，</w:t>
            </w:r>
            <w:r>
              <w:rPr>
                <w:rFonts w:hint="eastAsia" w:ascii="仿宋_GB2312" w:hAnsi="仿宋_GB2312" w:eastAsia="仿宋_GB2312" w:cs="仿宋_GB2312"/>
                <w:sz w:val="24"/>
                <w:szCs w:val="24"/>
                <w:highlight w:val="none"/>
              </w:rPr>
              <w:t>能熟练操作办公自动化软件</w:t>
            </w:r>
            <w:r>
              <w:rPr>
                <w:rFonts w:hint="eastAsia" w:ascii="仿宋_GB2312" w:hAnsi="仿宋_GB2312" w:eastAsia="仿宋_GB2312" w:cs="仿宋_GB2312"/>
                <w:sz w:val="24"/>
                <w:szCs w:val="24"/>
                <w:highlight w:val="none"/>
                <w:lang w:eastAsia="zh-CN"/>
              </w:rPr>
              <w:t>，责任心强。</w:t>
            </w:r>
          </w:p>
        </w:tc>
      </w:tr>
      <w:tr w14:paraId="34E2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shd w:val="clear" w:color="auto" w:fill="auto"/>
            <w:vAlign w:val="center"/>
          </w:tcPr>
          <w:p w14:paraId="04796899">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eastAsia="zh-CN"/>
              </w:rPr>
              <w:t>消控室消防操作员</w:t>
            </w:r>
          </w:p>
        </w:tc>
        <w:tc>
          <w:tcPr>
            <w:tcW w:w="1438" w:type="dxa"/>
            <w:vAlign w:val="center"/>
          </w:tcPr>
          <w:p w14:paraId="527DBE10">
            <w:pPr>
              <w:pStyle w:val="15"/>
              <w:keepNext w:val="0"/>
              <w:keepLines w:val="0"/>
              <w:pageBreakBefore w:val="0"/>
              <w:widowControl w:val="0"/>
              <w:kinsoku/>
              <w:wordWrap/>
              <w:overflowPunct/>
              <w:topLinePunct w:val="0"/>
              <w:bidi w:val="0"/>
              <w:adjustRightInd/>
              <w:snapToGrid/>
              <w:spacing w:line="576" w:lineRule="exact"/>
              <w:ind w:left="107" w:leftChars="0" w:right="182" w:rightChars="0"/>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sz w:val="24"/>
                <w:szCs w:val="24"/>
                <w:highlight w:val="none"/>
                <w:lang w:eastAsia="zh-CN"/>
              </w:rPr>
              <w:t>消控室</w:t>
            </w:r>
          </w:p>
        </w:tc>
        <w:tc>
          <w:tcPr>
            <w:tcW w:w="911" w:type="dxa"/>
            <w:shd w:val="clear" w:color="auto" w:fill="auto"/>
            <w:vAlign w:val="center"/>
          </w:tcPr>
          <w:p w14:paraId="171937E0">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4</w:t>
            </w:r>
          </w:p>
        </w:tc>
        <w:tc>
          <w:tcPr>
            <w:tcW w:w="2138" w:type="dxa"/>
            <w:vMerge w:val="restart"/>
            <w:shd w:val="clear" w:color="auto" w:fill="auto"/>
            <w:vAlign w:val="center"/>
          </w:tcPr>
          <w:p w14:paraId="7A720548">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eastAsia="zh-CN"/>
              </w:rPr>
              <w:t>中专及</w:t>
            </w:r>
            <w:r>
              <w:rPr>
                <w:rFonts w:hint="eastAsia" w:ascii="仿宋_GB2312" w:hAnsi="仿宋_GB2312" w:eastAsia="仿宋_GB2312" w:cs="仿宋_GB2312"/>
                <w:sz w:val="24"/>
                <w:szCs w:val="24"/>
                <w:highlight w:val="none"/>
              </w:rPr>
              <w:t>以上学历</w:t>
            </w:r>
          </w:p>
        </w:tc>
        <w:tc>
          <w:tcPr>
            <w:tcW w:w="2432" w:type="dxa"/>
            <w:shd w:val="clear" w:color="auto" w:fill="auto"/>
            <w:vAlign w:val="center"/>
          </w:tcPr>
          <w:p w14:paraId="0384D352">
            <w:pPr>
              <w:pStyle w:val="13"/>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eastAsia="zh-CN"/>
              </w:rPr>
              <w:t>熟练掌握各种消防设备的使用，</w:t>
            </w:r>
            <w:r>
              <w:rPr>
                <w:rFonts w:hint="eastAsia" w:ascii="仿宋_GB2312" w:hAnsi="仿宋_GB2312" w:eastAsia="仿宋_GB2312" w:cs="仿宋_GB2312"/>
                <w:sz w:val="24"/>
                <w:szCs w:val="24"/>
                <w:highlight w:val="none"/>
              </w:rPr>
              <w:t>具有</w:t>
            </w:r>
            <w:r>
              <w:rPr>
                <w:rFonts w:hint="eastAsia" w:ascii="仿宋_GB2312" w:hAnsi="仿宋_GB2312" w:eastAsia="仿宋_GB2312" w:cs="仿宋_GB2312"/>
                <w:sz w:val="24"/>
                <w:szCs w:val="24"/>
                <w:highlight w:val="none"/>
                <w:lang w:eastAsia="zh-CN"/>
              </w:rPr>
              <w:t>中级以上</w:t>
            </w:r>
            <w:r>
              <w:rPr>
                <w:rFonts w:hint="eastAsia" w:ascii="仿宋_GB2312" w:hAnsi="仿宋_GB2312" w:eastAsia="仿宋_GB2312" w:cs="仿宋_GB2312"/>
                <w:sz w:val="24"/>
                <w:szCs w:val="24"/>
                <w:highlight w:val="none"/>
              </w:rPr>
              <w:t>消防操作员证</w:t>
            </w:r>
            <w:r>
              <w:rPr>
                <w:rFonts w:hint="eastAsia" w:ascii="仿宋_GB2312" w:hAnsi="仿宋_GB2312" w:eastAsia="仿宋_GB2312" w:cs="仿宋_GB2312"/>
                <w:sz w:val="24"/>
                <w:szCs w:val="24"/>
                <w:highlight w:val="none"/>
                <w:lang w:val="en-US" w:eastAsia="zh-CN"/>
              </w:rPr>
              <w:t>书</w:t>
            </w:r>
          </w:p>
        </w:tc>
      </w:tr>
      <w:tr w14:paraId="7B60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3" w:type="dxa"/>
            <w:shd w:val="clear" w:color="auto" w:fill="auto"/>
            <w:vAlign w:val="center"/>
          </w:tcPr>
          <w:p w14:paraId="0D75E8E6">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监控室安保人员</w:t>
            </w:r>
          </w:p>
        </w:tc>
        <w:tc>
          <w:tcPr>
            <w:tcW w:w="1438" w:type="dxa"/>
            <w:vAlign w:val="center"/>
          </w:tcPr>
          <w:p w14:paraId="6A371836">
            <w:pPr>
              <w:pStyle w:val="15"/>
              <w:keepNext w:val="0"/>
              <w:keepLines w:val="0"/>
              <w:pageBreakBefore w:val="0"/>
              <w:widowControl w:val="0"/>
              <w:kinsoku/>
              <w:wordWrap/>
              <w:overflowPunct/>
              <w:topLinePunct w:val="0"/>
              <w:bidi w:val="0"/>
              <w:adjustRightInd/>
              <w:snapToGrid/>
              <w:spacing w:line="576" w:lineRule="exact"/>
              <w:ind w:left="107" w:leftChars="0" w:right="182" w:rightChars="0"/>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监控室</w:t>
            </w:r>
          </w:p>
        </w:tc>
        <w:tc>
          <w:tcPr>
            <w:tcW w:w="911" w:type="dxa"/>
            <w:shd w:val="clear" w:color="auto" w:fill="auto"/>
            <w:vAlign w:val="center"/>
          </w:tcPr>
          <w:p w14:paraId="14F65368">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2</w:t>
            </w:r>
          </w:p>
        </w:tc>
        <w:tc>
          <w:tcPr>
            <w:tcW w:w="2138" w:type="dxa"/>
            <w:vMerge w:val="continue"/>
            <w:shd w:val="clear" w:color="auto" w:fill="auto"/>
            <w:vAlign w:val="center"/>
          </w:tcPr>
          <w:p w14:paraId="7C5B4EFD">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kern w:val="2"/>
                <w:sz w:val="24"/>
                <w:szCs w:val="24"/>
                <w:highlight w:val="none"/>
                <w:lang w:val="en-US" w:eastAsia="zh-CN" w:bidi="ar-SA"/>
              </w:rPr>
            </w:pPr>
          </w:p>
        </w:tc>
        <w:tc>
          <w:tcPr>
            <w:tcW w:w="2432" w:type="dxa"/>
            <w:shd w:val="clear" w:color="auto" w:fill="auto"/>
            <w:vAlign w:val="center"/>
          </w:tcPr>
          <w:p w14:paraId="0ECA5EB0">
            <w:pPr>
              <w:pStyle w:val="15"/>
              <w:keepNext w:val="0"/>
              <w:keepLines w:val="0"/>
              <w:pageBreakBefore w:val="0"/>
              <w:widowControl w:val="0"/>
              <w:kinsoku/>
              <w:wordWrap/>
              <w:overflowPunct/>
              <w:topLinePunct w:val="0"/>
              <w:bidi w:val="0"/>
              <w:adjustRightInd/>
              <w:snapToGrid/>
              <w:spacing w:beforeAutospacing="0" w:line="576" w:lineRule="exact"/>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sz w:val="24"/>
                <w:szCs w:val="24"/>
                <w:highlight w:val="none"/>
              </w:rPr>
              <w:t>能熟练操作办公自动化软件</w:t>
            </w:r>
            <w:r>
              <w:rPr>
                <w:rFonts w:hint="eastAsia" w:ascii="仿宋_GB2312" w:hAnsi="仿宋_GB2312" w:eastAsia="仿宋_GB2312" w:cs="仿宋_GB2312"/>
                <w:sz w:val="24"/>
                <w:szCs w:val="24"/>
                <w:highlight w:val="none"/>
                <w:lang w:eastAsia="zh-CN"/>
              </w:rPr>
              <w:t>。</w:t>
            </w:r>
          </w:p>
        </w:tc>
      </w:tr>
      <w:tr w14:paraId="1964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2" w:type="dxa"/>
            <w:gridSpan w:val="3"/>
            <w:shd w:val="clear" w:color="auto" w:fill="auto"/>
            <w:vAlign w:val="center"/>
          </w:tcPr>
          <w:p w14:paraId="6F43804E">
            <w:pPr>
              <w:pStyle w:val="15"/>
              <w:keepNext w:val="0"/>
              <w:keepLines w:val="0"/>
              <w:pageBreakBefore w:val="0"/>
              <w:widowControl w:val="0"/>
              <w:kinsoku/>
              <w:wordWrap/>
              <w:overflowPunct/>
              <w:topLinePunct w:val="0"/>
              <w:bidi w:val="0"/>
              <w:adjustRightInd/>
              <w:snapToGrid/>
              <w:spacing w:line="576" w:lineRule="exact"/>
              <w:ind w:left="106" w:leftChars="0" w:right="94" w:rightChars="0"/>
              <w:jc w:val="center"/>
              <w:rPr>
                <w:rFonts w:hint="eastAsia" w:ascii="仿宋_GB2312" w:hAnsi="仿宋_GB2312" w:eastAsia="仿宋_GB2312" w:cs="仿宋_GB2312"/>
                <w:b w:val="0"/>
                <w:bCs w:val="0"/>
                <w:color w:val="000000"/>
                <w:spacing w:val="-2"/>
                <w:sz w:val="24"/>
                <w:szCs w:val="24"/>
                <w:lang w:val="en-US" w:eastAsia="zh-CN"/>
              </w:rPr>
            </w:pPr>
            <w:r>
              <w:rPr>
                <w:rFonts w:hint="eastAsia" w:ascii="仿宋_GB2312" w:hAnsi="仿宋_GB2312" w:eastAsia="仿宋_GB2312" w:cs="仿宋_GB2312"/>
                <w:b w:val="0"/>
                <w:bCs w:val="0"/>
                <w:color w:val="000000"/>
                <w:spacing w:val="-2"/>
                <w:sz w:val="24"/>
                <w:szCs w:val="24"/>
                <w:lang w:val="en-US" w:eastAsia="zh-CN"/>
              </w:rPr>
              <w:t>合计</w:t>
            </w:r>
          </w:p>
        </w:tc>
        <w:tc>
          <w:tcPr>
            <w:tcW w:w="2138" w:type="dxa"/>
            <w:shd w:val="clear" w:color="auto" w:fill="auto"/>
            <w:vAlign w:val="center"/>
          </w:tcPr>
          <w:p w14:paraId="28776740">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25</w:t>
            </w:r>
          </w:p>
        </w:tc>
        <w:tc>
          <w:tcPr>
            <w:tcW w:w="2432" w:type="dxa"/>
            <w:shd w:val="clear" w:color="auto" w:fill="auto"/>
            <w:vAlign w:val="center"/>
          </w:tcPr>
          <w:p w14:paraId="37977066">
            <w:pPr>
              <w:keepNext w:val="0"/>
              <w:keepLines w:val="0"/>
              <w:pageBreakBefore w:val="0"/>
              <w:kinsoku/>
              <w:wordWrap/>
              <w:overflowPunct/>
              <w:topLinePunct w:val="0"/>
              <w:bidi w:val="0"/>
              <w:adjustRightInd/>
              <w:snapToGrid/>
              <w:spacing w:line="576" w:lineRule="exact"/>
              <w:jc w:val="center"/>
              <w:rPr>
                <w:rFonts w:hint="eastAsia" w:ascii="仿宋_GB2312" w:hAnsi="仿宋_GB2312" w:eastAsia="仿宋_GB2312" w:cs="仿宋_GB2312"/>
                <w:sz w:val="24"/>
                <w:szCs w:val="24"/>
                <w:highlight w:val="none"/>
                <w:lang w:eastAsia="zh-CN"/>
              </w:rPr>
            </w:pPr>
          </w:p>
        </w:tc>
      </w:tr>
      <w:tr w14:paraId="74AC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5"/>
            <w:shd w:val="clear" w:color="auto" w:fill="auto"/>
            <w:vAlign w:val="center"/>
          </w:tcPr>
          <w:p w14:paraId="62C5C5A4">
            <w:pPr>
              <w:keepNext w:val="0"/>
              <w:keepLines w:val="0"/>
              <w:pageBreakBefore w:val="0"/>
              <w:kinsoku/>
              <w:wordWrap/>
              <w:overflowPunct/>
              <w:topLinePunct w:val="0"/>
              <w:bidi w:val="0"/>
              <w:adjustRightInd/>
              <w:snapToGrid/>
              <w:spacing w:line="576" w:lineRule="exact"/>
              <w:jc w:val="left"/>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rPr>
              <w:t>专职保安人员必须是经过公安机关培训合格或是公安机关认定资格的保安公司的保安人员。所招聘人员必须具有保安员证。其中</w:t>
            </w: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人（不含保安队长）具有</w:t>
            </w:r>
            <w:r>
              <w:rPr>
                <w:rFonts w:hint="eastAsia" w:ascii="仿宋_GB2312" w:hAnsi="仿宋_GB2312" w:eastAsia="仿宋_GB2312" w:cs="仿宋_GB2312"/>
                <w:sz w:val="24"/>
                <w:szCs w:val="24"/>
                <w:highlight w:val="none"/>
                <w:lang w:eastAsia="zh-CN"/>
              </w:rPr>
              <w:t>中级以上</w:t>
            </w:r>
            <w:r>
              <w:rPr>
                <w:rFonts w:hint="eastAsia" w:ascii="仿宋_GB2312" w:hAnsi="仿宋_GB2312" w:eastAsia="仿宋_GB2312" w:cs="仿宋_GB2312"/>
                <w:sz w:val="24"/>
                <w:szCs w:val="24"/>
                <w:highlight w:val="none"/>
              </w:rPr>
              <w:t>消防操作员证</w:t>
            </w:r>
            <w:r>
              <w:rPr>
                <w:rFonts w:hint="eastAsia" w:ascii="仿宋_GB2312" w:hAnsi="仿宋_GB2312" w:eastAsia="仿宋_GB2312" w:cs="仿宋_GB2312"/>
                <w:sz w:val="24"/>
                <w:szCs w:val="24"/>
                <w:highlight w:val="none"/>
                <w:lang w:val="en-US" w:eastAsia="zh-CN"/>
              </w:rPr>
              <w:t>书</w:t>
            </w:r>
            <w:r>
              <w:rPr>
                <w:rFonts w:hint="eastAsia" w:ascii="仿宋_GB2312" w:hAnsi="仿宋_GB2312" w:eastAsia="仿宋_GB2312" w:cs="仿宋_GB2312"/>
                <w:sz w:val="24"/>
                <w:szCs w:val="24"/>
                <w:highlight w:val="none"/>
                <w:lang w:eastAsia="zh-CN"/>
              </w:rPr>
              <w:t>（本校属于消防重点单位）。</w:t>
            </w:r>
          </w:p>
          <w:p w14:paraId="5E431D37">
            <w:pPr>
              <w:keepNext w:val="0"/>
              <w:keepLines w:val="0"/>
              <w:pageBreakBefore w:val="0"/>
              <w:kinsoku/>
              <w:wordWrap/>
              <w:overflowPunct/>
              <w:topLinePunct w:val="0"/>
              <w:bidi w:val="0"/>
              <w:adjustRightInd/>
              <w:snapToGrid/>
              <w:spacing w:line="576"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本项目配备的保安人员在具备基本条件的基础上，还要通过公安部</w:t>
            </w:r>
            <w:r>
              <w:rPr>
                <w:rFonts w:hint="eastAsia" w:ascii="仿宋_GB2312" w:hAnsi="仿宋_GB2312" w:eastAsia="仿宋_GB2312" w:cs="仿宋_GB2312"/>
                <w:sz w:val="24"/>
                <w:szCs w:val="24"/>
                <w:highlight w:val="none"/>
                <w:lang w:val="en-US" w:eastAsia="zh-CN"/>
              </w:rPr>
              <w:t>门</w:t>
            </w:r>
            <w:r>
              <w:rPr>
                <w:rFonts w:hint="eastAsia" w:ascii="仿宋_GB2312" w:hAnsi="仿宋_GB2312" w:eastAsia="仿宋_GB2312" w:cs="仿宋_GB2312"/>
                <w:sz w:val="24"/>
                <w:szCs w:val="24"/>
                <w:highlight w:val="none"/>
              </w:rPr>
              <w:t>组织的保安业务培训后和资格认定后才能继续上岗。</w:t>
            </w:r>
          </w:p>
          <w:p w14:paraId="2F43566E">
            <w:pPr>
              <w:keepNext w:val="0"/>
              <w:keepLines w:val="0"/>
              <w:pageBreakBefore w:val="0"/>
              <w:kinsoku/>
              <w:wordWrap/>
              <w:overflowPunct/>
              <w:topLinePunct w:val="0"/>
              <w:bidi w:val="0"/>
              <w:adjustRightInd/>
              <w:snapToGrid/>
              <w:spacing w:line="576"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专职保安员由学校管理使用，并接受其派出保安服务公司和公安机关的监管。</w:t>
            </w:r>
          </w:p>
          <w:p w14:paraId="1D6B0D52">
            <w:pPr>
              <w:keepNext w:val="0"/>
              <w:keepLines w:val="0"/>
              <w:pageBreakBefore w:val="0"/>
              <w:kinsoku/>
              <w:wordWrap/>
              <w:overflowPunct/>
              <w:topLinePunct w:val="0"/>
              <w:bidi w:val="0"/>
              <w:adjustRightInd/>
              <w:snapToGrid/>
              <w:spacing w:line="576"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校方有权利根据各岗</w:t>
            </w:r>
            <w:r>
              <w:rPr>
                <w:rFonts w:hint="eastAsia" w:ascii="仿宋_GB2312" w:hAnsi="仿宋_GB2312" w:eastAsia="仿宋_GB2312" w:cs="仿宋_GB2312"/>
                <w:sz w:val="24"/>
                <w:szCs w:val="24"/>
                <w:highlight w:val="none"/>
                <w:lang w:eastAsia="zh-CN"/>
              </w:rPr>
              <w:t>位</w:t>
            </w:r>
            <w:r>
              <w:rPr>
                <w:rFonts w:hint="eastAsia" w:ascii="仿宋_GB2312" w:hAnsi="仿宋_GB2312" w:eastAsia="仿宋_GB2312" w:cs="仿宋_GB2312"/>
                <w:sz w:val="24"/>
                <w:szCs w:val="24"/>
                <w:highlight w:val="none"/>
              </w:rPr>
              <w:t>工作的需要，</w:t>
            </w:r>
            <w:r>
              <w:rPr>
                <w:rFonts w:hint="eastAsia" w:ascii="仿宋_GB2312" w:hAnsi="仿宋_GB2312" w:eastAsia="仿宋_GB2312" w:cs="仿宋_GB2312"/>
                <w:sz w:val="24"/>
                <w:szCs w:val="24"/>
                <w:highlight w:val="none"/>
                <w:lang w:eastAsia="zh-CN"/>
              </w:rPr>
              <w:t>可</w:t>
            </w:r>
            <w:r>
              <w:rPr>
                <w:rFonts w:hint="eastAsia" w:ascii="仿宋_GB2312" w:hAnsi="仿宋_GB2312" w:eastAsia="仿宋_GB2312" w:cs="仿宋_GB2312"/>
                <w:sz w:val="24"/>
                <w:szCs w:val="24"/>
                <w:highlight w:val="none"/>
              </w:rPr>
              <w:t>临时调整各</w:t>
            </w:r>
            <w:r>
              <w:rPr>
                <w:rFonts w:hint="eastAsia" w:ascii="仿宋_GB2312" w:hAnsi="仿宋_GB2312" w:eastAsia="仿宋_GB2312" w:cs="仿宋_GB2312"/>
                <w:sz w:val="24"/>
                <w:szCs w:val="24"/>
                <w:highlight w:val="none"/>
                <w:lang w:eastAsia="zh-CN"/>
              </w:rPr>
              <w:t>岗位</w:t>
            </w:r>
            <w:r>
              <w:rPr>
                <w:rFonts w:hint="eastAsia" w:ascii="仿宋_GB2312" w:hAnsi="仿宋_GB2312" w:eastAsia="仿宋_GB2312" w:cs="仿宋_GB2312"/>
                <w:sz w:val="24"/>
                <w:szCs w:val="24"/>
                <w:highlight w:val="none"/>
              </w:rPr>
              <w:t>人员人数，但是每天保持总体上班人员数量不变。</w:t>
            </w:r>
          </w:p>
          <w:p w14:paraId="309BED82">
            <w:pPr>
              <w:keepNext w:val="0"/>
              <w:keepLines w:val="0"/>
              <w:pageBreakBefore w:val="0"/>
              <w:kinsoku/>
              <w:wordWrap/>
              <w:overflowPunct/>
              <w:topLinePunct w:val="0"/>
              <w:bidi w:val="0"/>
              <w:adjustRightInd/>
              <w:snapToGrid/>
              <w:spacing w:line="576" w:lineRule="exact"/>
              <w:jc w:val="left"/>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5.年龄限制参照江西省教育厅、江西省公安厅“赣教稳定字[2020]8号”《关于加快推进校园安全防范建设的通知》文件要求。</w:t>
            </w:r>
          </w:p>
        </w:tc>
      </w:tr>
    </w:tbl>
    <w:p w14:paraId="595E0202">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outlineLvl w:val="2"/>
        <w:rPr>
          <w:rFonts w:hint="eastAsia" w:ascii="仿宋_GB2312" w:hAnsi="仿宋_GB2312" w:eastAsia="仿宋_GB2312" w:cs="仿宋_GB2312"/>
          <w:b/>
          <w:bCs/>
          <w:color w:val="auto"/>
          <w:spacing w:val="0"/>
          <w:position w:val="0"/>
          <w:sz w:val="24"/>
          <w:szCs w:val="24"/>
          <w:highlight w:val="none"/>
          <w:lang w:val="en-US" w:eastAsia="zh-CN"/>
        </w:rPr>
      </w:pPr>
      <w:r>
        <w:rPr>
          <w:rFonts w:hint="eastAsia" w:ascii="仿宋_GB2312" w:hAnsi="仿宋_GB2312" w:eastAsia="仿宋_GB2312" w:cs="仿宋_GB2312"/>
          <w:b/>
          <w:bCs/>
          <w:color w:val="auto"/>
          <w:spacing w:val="0"/>
          <w:position w:val="0"/>
          <w:sz w:val="24"/>
          <w:szCs w:val="24"/>
          <w:highlight w:val="none"/>
          <w:lang w:val="en-US" w:eastAsia="zh-CN"/>
        </w:rPr>
        <w:t>(一)本项目服务的内容主要为：</w:t>
      </w:r>
    </w:p>
    <w:p w14:paraId="1F043649">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安保服务队伍实行双重管理，安保等服务人员劳动关系隶属保安服务公司，学校对安保服务人员进行业务管理，安保等服务人员工作接受全校职工监督。保安服务公司按照学校提出的工作要求，由保安服务公司派出的队长负责派驻安保服务人员的管理，安排部署工作任务，并进行定期、不定期的查岗、考勤、检查督促完成工作任务，健全完善各项工作记录，保证工作质量，同时接受学校保卫处的工作考核，发现问题、及时解决问题。</w:t>
      </w:r>
    </w:p>
    <w:p w14:paraId="56A1A24B">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1.1、保安公司为拟派员工（保安员）购买意外保险或雇主责任险保费100万元以上。</w:t>
      </w:r>
    </w:p>
    <w:p w14:paraId="6DE3CDB9">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1.2、在学校保卫处的组织领导下，全面负责学校三个大门的管理工作，对出入校园的人员和车辆以及物品等按规定要求进行安全管理，维护各校大门的秩序，确保各校大门平稳有序。</w:t>
      </w:r>
    </w:p>
    <w:p w14:paraId="3DF5A6EE">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1.3、及时发现和消除校大门50米之内的各类安全隐患；及时劝离在校大门50米之内的流动摊点。</w:t>
      </w:r>
    </w:p>
    <w:p w14:paraId="53320B96">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1.4、监控室保安人员要时刻关注监控画面，从监控画面中及时发现异常情况，并报告保卫处。</w:t>
      </w:r>
    </w:p>
    <w:p w14:paraId="70F5B0F8">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1.5、反映迅速、能随时为师生提供紧急救助服务。</w:t>
      </w:r>
    </w:p>
    <w:p w14:paraId="58AD380B">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1.6、严防冲击校园的违法犯罪行为。</w:t>
      </w:r>
    </w:p>
    <w:p w14:paraId="51C0820B">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1.7、配合公安机关，打击其他违法犯罪行为。</w:t>
      </w:r>
    </w:p>
    <w:p w14:paraId="4469125D">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1.8、校园建筑物消防设施检查：定期检查建筑物中的消防设施并做好检查记录。向采购方提交消防设施维护计划，配合采购方维护维修的实施。</w:t>
      </w:r>
    </w:p>
    <w:p w14:paraId="6DFAACA9">
      <w:pPr>
        <w:keepNext w:val="0"/>
        <w:keepLines w:val="0"/>
        <w:pageBreakBefore w:val="0"/>
        <w:kinsoku/>
        <w:wordWrap/>
        <w:overflowPunct/>
        <w:topLinePunct w:val="0"/>
        <w:bidi w:val="0"/>
        <w:adjustRightInd/>
        <w:snapToGrid/>
        <w:spacing w:line="576" w:lineRule="exact"/>
        <w:ind w:firstLine="480" w:firstLineChars="200"/>
        <w:rPr>
          <w:rFonts w:hint="eastAsia" w:ascii="仿宋_GB2312" w:hAnsi="仿宋_GB2312" w:eastAsia="仿宋_GB2312" w:cs="仿宋_GB2312"/>
          <w:color w:val="auto"/>
          <w:spacing w:val="0"/>
          <w:kern w:val="2"/>
          <w:position w:val="0"/>
          <w:sz w:val="24"/>
          <w:szCs w:val="24"/>
          <w:highlight w:val="none"/>
          <w:lang w:val="en-US" w:eastAsia="zh-CN" w:bidi="ar-SA"/>
        </w:rPr>
      </w:pPr>
      <w:r>
        <w:rPr>
          <w:rFonts w:hint="eastAsia" w:ascii="仿宋_GB2312" w:hAnsi="仿宋_GB2312" w:eastAsia="仿宋_GB2312" w:cs="仿宋_GB2312"/>
          <w:color w:val="auto"/>
          <w:spacing w:val="0"/>
          <w:kern w:val="2"/>
          <w:position w:val="0"/>
          <w:sz w:val="24"/>
          <w:szCs w:val="24"/>
          <w:highlight w:val="none"/>
          <w:lang w:val="en-US" w:eastAsia="zh-CN" w:bidi="ar-SA"/>
        </w:rPr>
        <w:t>1.9、重大活动的安保和秩序维护：在采购方组织或承办的重大活动或考试等时，所有保安人员需在岗按照采购方的要求，协助做好相应的安保工作。</w:t>
      </w:r>
    </w:p>
    <w:p w14:paraId="54A4CBAA">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outlineLvl w:val="2"/>
        <w:rPr>
          <w:rFonts w:hint="eastAsia" w:ascii="仿宋_GB2312" w:hAnsi="仿宋_GB2312" w:eastAsia="仿宋_GB2312" w:cs="仿宋_GB2312"/>
          <w:b/>
          <w:bCs/>
          <w:color w:val="auto"/>
          <w:spacing w:val="0"/>
          <w:position w:val="0"/>
          <w:sz w:val="24"/>
          <w:szCs w:val="24"/>
          <w:highlight w:val="none"/>
        </w:rPr>
      </w:pPr>
      <w:r>
        <w:rPr>
          <w:rFonts w:hint="eastAsia" w:ascii="仿宋_GB2312" w:hAnsi="仿宋_GB2312" w:eastAsia="仿宋_GB2312" w:cs="仿宋_GB2312"/>
          <w:b/>
          <w:bCs/>
          <w:color w:val="auto"/>
          <w:spacing w:val="0"/>
          <w:position w:val="0"/>
          <w:sz w:val="24"/>
          <w:szCs w:val="24"/>
          <w:highlight w:val="none"/>
          <w:lang w:val="en-US" w:eastAsia="zh-CN"/>
        </w:rPr>
        <w:t>（二）安保</w:t>
      </w:r>
      <w:r>
        <w:rPr>
          <w:rFonts w:hint="eastAsia" w:ascii="仿宋_GB2312" w:hAnsi="仿宋_GB2312" w:eastAsia="仿宋_GB2312" w:cs="仿宋_GB2312"/>
          <w:b/>
          <w:bCs/>
          <w:color w:val="auto"/>
          <w:spacing w:val="0"/>
          <w:position w:val="0"/>
          <w:sz w:val="24"/>
          <w:szCs w:val="24"/>
          <w:highlight w:val="none"/>
        </w:rPr>
        <w:t>人员服务内容及管理要求</w:t>
      </w:r>
    </w:p>
    <w:p w14:paraId="7CF48ADF">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2" w:firstLineChars="200"/>
        <w:jc w:val="both"/>
        <w:textAlignment w:val="auto"/>
        <w:rPr>
          <w:rFonts w:hint="eastAsia" w:ascii="仿宋_GB2312" w:hAnsi="仿宋_GB2312" w:eastAsia="仿宋_GB2312" w:cs="仿宋_GB2312"/>
          <w:b/>
          <w:bCs/>
          <w:color w:val="auto"/>
          <w:spacing w:val="0"/>
          <w:position w:val="0"/>
          <w:sz w:val="24"/>
          <w:szCs w:val="24"/>
          <w:highlight w:val="none"/>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2.1、</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服务要求</w:t>
      </w:r>
    </w:p>
    <w:p w14:paraId="302E1BD0">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eastAsia="zh-CN"/>
        </w:rPr>
      </w:pPr>
      <w:r>
        <w:rPr>
          <w:rFonts w:hint="eastAsia" w:ascii="仿宋_GB2312" w:hAnsi="仿宋_GB2312" w:eastAsia="仿宋_GB2312" w:cs="仿宋_GB2312"/>
          <w:color w:val="auto"/>
          <w:spacing w:val="0"/>
          <w:position w:val="0"/>
          <w:sz w:val="24"/>
          <w:szCs w:val="24"/>
          <w:highlight w:val="none"/>
          <w:lang w:val="en-US" w:eastAsia="zh-CN"/>
        </w:rPr>
        <w:t>2.1.</w:t>
      </w:r>
      <w:r>
        <w:rPr>
          <w:rFonts w:hint="eastAsia" w:ascii="仿宋_GB2312" w:hAnsi="仿宋_GB2312" w:eastAsia="仿宋_GB2312" w:cs="仿宋_GB2312"/>
          <w:color w:val="auto"/>
          <w:spacing w:val="0"/>
          <w:position w:val="0"/>
          <w:sz w:val="24"/>
          <w:szCs w:val="24"/>
          <w:highlight w:val="none"/>
        </w:rPr>
        <w:t>1、依托行业标准，根据采购人管理规定与服务要求，制定切实可行的校园保安服务整体方案和应急预案，突发事件反应迅速，预案处置有力</w:t>
      </w:r>
      <w:r>
        <w:rPr>
          <w:rFonts w:hint="eastAsia" w:ascii="仿宋_GB2312" w:hAnsi="仿宋_GB2312" w:eastAsia="仿宋_GB2312" w:cs="仿宋_GB2312"/>
          <w:color w:val="auto"/>
          <w:spacing w:val="0"/>
          <w:position w:val="0"/>
          <w:sz w:val="24"/>
          <w:szCs w:val="24"/>
          <w:highlight w:val="none"/>
          <w:lang w:eastAsia="zh-CN"/>
        </w:rPr>
        <w:t>；</w:t>
      </w:r>
    </w:p>
    <w:p w14:paraId="191944ED">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eastAsia="zh-CN"/>
        </w:rPr>
      </w:pPr>
      <w:r>
        <w:rPr>
          <w:rFonts w:hint="eastAsia" w:ascii="仿宋_GB2312" w:hAnsi="仿宋_GB2312" w:eastAsia="仿宋_GB2312" w:cs="仿宋_GB2312"/>
          <w:color w:val="auto"/>
          <w:spacing w:val="0"/>
          <w:position w:val="0"/>
          <w:sz w:val="24"/>
          <w:szCs w:val="24"/>
          <w:highlight w:val="none"/>
          <w:lang w:val="en-US" w:eastAsia="zh-CN"/>
        </w:rPr>
        <w:t>2.1.</w:t>
      </w:r>
      <w:r>
        <w:rPr>
          <w:rFonts w:hint="eastAsia" w:ascii="仿宋_GB2312" w:hAnsi="仿宋_GB2312" w:eastAsia="仿宋_GB2312" w:cs="仿宋_GB2312"/>
          <w:color w:val="auto"/>
          <w:spacing w:val="0"/>
          <w:position w:val="0"/>
          <w:sz w:val="24"/>
          <w:szCs w:val="24"/>
          <w:highlight w:val="none"/>
        </w:rPr>
        <w:t>2、依法办事，文明值勤，严格管理，保障采购人财产和师生人身不受侵害，维护正常的教学、科研、生活秩序</w:t>
      </w:r>
      <w:r>
        <w:rPr>
          <w:rFonts w:hint="eastAsia" w:ascii="仿宋_GB2312" w:hAnsi="仿宋_GB2312" w:eastAsia="仿宋_GB2312" w:cs="仿宋_GB2312"/>
          <w:color w:val="auto"/>
          <w:spacing w:val="0"/>
          <w:position w:val="0"/>
          <w:sz w:val="24"/>
          <w:szCs w:val="24"/>
          <w:highlight w:val="none"/>
          <w:lang w:eastAsia="zh-CN"/>
        </w:rPr>
        <w:t>；</w:t>
      </w:r>
    </w:p>
    <w:p w14:paraId="55E8E836">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2.1.</w:t>
      </w:r>
      <w:r>
        <w:rPr>
          <w:rFonts w:hint="eastAsia" w:ascii="仿宋_GB2312" w:hAnsi="仿宋_GB2312" w:eastAsia="仿宋_GB2312" w:cs="仿宋_GB2312"/>
          <w:color w:val="auto"/>
          <w:spacing w:val="0"/>
          <w:position w:val="0"/>
          <w:sz w:val="24"/>
          <w:szCs w:val="24"/>
          <w:highlight w:val="none"/>
        </w:rPr>
        <w:t>3、全年无责任事故和责任案件发生，师生有安全感</w:t>
      </w:r>
      <w:r>
        <w:rPr>
          <w:rFonts w:hint="eastAsia" w:ascii="仿宋_GB2312" w:hAnsi="仿宋_GB2312" w:eastAsia="仿宋_GB2312" w:cs="仿宋_GB2312"/>
          <w:color w:val="auto"/>
          <w:spacing w:val="0"/>
          <w:position w:val="0"/>
          <w:sz w:val="24"/>
          <w:szCs w:val="24"/>
          <w:highlight w:val="none"/>
          <w:lang w:eastAsia="zh-CN"/>
        </w:rPr>
        <w:t>。</w:t>
      </w:r>
    </w:p>
    <w:p w14:paraId="00B2B751">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2.1.4</w:t>
      </w:r>
      <w:r>
        <w:rPr>
          <w:rFonts w:hint="eastAsia" w:ascii="仿宋_GB2312" w:hAnsi="仿宋_GB2312" w:eastAsia="仿宋_GB2312" w:cs="仿宋_GB2312"/>
          <w:color w:val="auto"/>
          <w:spacing w:val="0"/>
          <w:position w:val="0"/>
          <w:sz w:val="24"/>
          <w:szCs w:val="24"/>
          <w:highlight w:val="none"/>
        </w:rPr>
        <w:t>、树立“服务第一，业主至上”的思想，切实维护采购人与师生的人身和财产安全；</w:t>
      </w:r>
    </w:p>
    <w:p w14:paraId="60037BF0">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2.1.5</w:t>
      </w:r>
      <w:r>
        <w:rPr>
          <w:rFonts w:hint="eastAsia" w:ascii="仿宋_GB2312" w:hAnsi="仿宋_GB2312" w:eastAsia="仿宋_GB2312" w:cs="仿宋_GB2312"/>
          <w:color w:val="auto"/>
          <w:spacing w:val="0"/>
          <w:position w:val="0"/>
          <w:sz w:val="24"/>
          <w:szCs w:val="24"/>
          <w:highlight w:val="none"/>
        </w:rPr>
        <w:t>、管理坚持原则、慎密严谨;服务以人为本、主动热情;处理问题高度警惕、有理有节；</w:t>
      </w:r>
    </w:p>
    <w:p w14:paraId="2F85CC91">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2.1.6</w:t>
      </w:r>
      <w:r>
        <w:rPr>
          <w:rFonts w:hint="eastAsia" w:ascii="仿宋_GB2312" w:hAnsi="仿宋_GB2312" w:eastAsia="仿宋_GB2312" w:cs="仿宋_GB2312"/>
          <w:color w:val="auto"/>
          <w:spacing w:val="0"/>
          <w:position w:val="0"/>
          <w:sz w:val="24"/>
          <w:szCs w:val="24"/>
          <w:highlight w:val="none"/>
        </w:rPr>
        <w:t>、上岗人员仪表整洁，业务操作规范，礼貌待人，保持岗位卫生整洁；</w:t>
      </w:r>
    </w:p>
    <w:p w14:paraId="6EB72578">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2.1.7</w:t>
      </w:r>
      <w:r>
        <w:rPr>
          <w:rFonts w:hint="eastAsia" w:ascii="仿宋_GB2312" w:hAnsi="仿宋_GB2312" w:eastAsia="仿宋_GB2312" w:cs="仿宋_GB2312"/>
          <w:color w:val="auto"/>
          <w:spacing w:val="0"/>
          <w:position w:val="0"/>
          <w:sz w:val="24"/>
          <w:szCs w:val="24"/>
          <w:highlight w:val="none"/>
        </w:rPr>
        <w:t>、依法办事，文明执勤，不与师生发生争吵，杜绝保安与师生发生冲突,禁止保安出手伤及师生人身安全。</w:t>
      </w:r>
    </w:p>
    <w:p w14:paraId="12D55614">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2" w:firstLineChars="200"/>
        <w:jc w:val="both"/>
        <w:textAlignment w:val="auto"/>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2.2、</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队伍建设与管理要求</w:t>
      </w:r>
    </w:p>
    <w:p w14:paraId="6DB21DC0">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2.2.</w:t>
      </w:r>
      <w:r>
        <w:rPr>
          <w:rFonts w:hint="eastAsia" w:ascii="仿宋_GB2312" w:hAnsi="仿宋_GB2312" w:eastAsia="仿宋_GB2312" w:cs="仿宋_GB2312"/>
          <w:color w:val="auto"/>
          <w:spacing w:val="0"/>
          <w:position w:val="0"/>
          <w:sz w:val="24"/>
          <w:szCs w:val="24"/>
          <w:highlight w:val="none"/>
        </w:rPr>
        <w:t>1、中标人提供进驻保安人员值勤所需的装备、器材、通讯设备、常用办公耗材等；</w:t>
      </w:r>
    </w:p>
    <w:p w14:paraId="1CD6B525">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2.2.</w:t>
      </w:r>
      <w:r>
        <w:rPr>
          <w:rFonts w:hint="eastAsia" w:ascii="仿宋_GB2312" w:hAnsi="仿宋_GB2312" w:eastAsia="仿宋_GB2312" w:cs="仿宋_GB2312"/>
          <w:color w:val="auto"/>
          <w:spacing w:val="0"/>
          <w:position w:val="0"/>
          <w:sz w:val="24"/>
          <w:szCs w:val="24"/>
          <w:highlight w:val="none"/>
        </w:rPr>
        <w:t>2、从采购人安全实际出发,经常性开展在岗人员业务培训和紧急预案演练</w:t>
      </w:r>
      <w:r>
        <w:rPr>
          <w:rFonts w:hint="eastAsia" w:ascii="仿宋_GB2312" w:hAnsi="仿宋_GB2312" w:eastAsia="仿宋_GB2312" w:cs="仿宋_GB2312"/>
          <w:color w:val="auto"/>
          <w:spacing w:val="0"/>
          <w:position w:val="0"/>
          <w:sz w:val="24"/>
          <w:szCs w:val="24"/>
          <w:highlight w:val="none"/>
          <w:lang w:eastAsia="zh-CN"/>
        </w:rPr>
        <w:t>、消防演练，应急突发事件与校园暴力反恐等安全防控管理</w:t>
      </w:r>
      <w:r>
        <w:rPr>
          <w:rFonts w:hint="eastAsia" w:ascii="仿宋_GB2312" w:hAnsi="仿宋_GB2312" w:eastAsia="仿宋_GB2312" w:cs="仿宋_GB2312"/>
          <w:color w:val="auto"/>
          <w:spacing w:val="0"/>
          <w:position w:val="0"/>
          <w:sz w:val="24"/>
          <w:szCs w:val="24"/>
          <w:highlight w:val="none"/>
        </w:rPr>
        <w:t>；</w:t>
      </w:r>
    </w:p>
    <w:p w14:paraId="0AA715A2">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2.2.</w:t>
      </w:r>
      <w:r>
        <w:rPr>
          <w:rFonts w:hint="eastAsia" w:ascii="仿宋_GB2312" w:hAnsi="仿宋_GB2312" w:eastAsia="仿宋_GB2312" w:cs="仿宋_GB2312"/>
          <w:color w:val="auto"/>
          <w:spacing w:val="0"/>
          <w:position w:val="0"/>
          <w:sz w:val="24"/>
          <w:szCs w:val="24"/>
          <w:highlight w:val="none"/>
        </w:rPr>
        <w:t>3、内部管理体制健全，设立保安</w:t>
      </w:r>
      <w:r>
        <w:rPr>
          <w:rFonts w:hint="eastAsia" w:ascii="仿宋_GB2312" w:hAnsi="仿宋_GB2312" w:eastAsia="仿宋_GB2312" w:cs="仿宋_GB2312"/>
          <w:color w:val="auto"/>
          <w:spacing w:val="0"/>
          <w:position w:val="0"/>
          <w:sz w:val="24"/>
          <w:szCs w:val="24"/>
          <w:highlight w:val="none"/>
          <w:lang w:val="en-US" w:eastAsia="zh-CN"/>
        </w:rPr>
        <w:t>主管</w:t>
      </w:r>
      <w:r>
        <w:rPr>
          <w:rFonts w:hint="eastAsia" w:ascii="仿宋_GB2312" w:hAnsi="仿宋_GB2312" w:eastAsia="仿宋_GB2312" w:cs="仿宋_GB2312"/>
          <w:color w:val="auto"/>
          <w:spacing w:val="0"/>
          <w:position w:val="0"/>
          <w:sz w:val="24"/>
          <w:szCs w:val="24"/>
          <w:highlight w:val="none"/>
        </w:rPr>
        <w:t>，全面负责日常保安队伍的规范化管理；</w:t>
      </w:r>
    </w:p>
    <w:p w14:paraId="1E1A63F5">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2.2.</w:t>
      </w:r>
      <w:r>
        <w:rPr>
          <w:rFonts w:hint="eastAsia" w:ascii="仿宋_GB2312" w:hAnsi="仿宋_GB2312" w:eastAsia="仿宋_GB2312" w:cs="仿宋_GB2312"/>
          <w:color w:val="auto"/>
          <w:spacing w:val="0"/>
          <w:position w:val="0"/>
          <w:sz w:val="24"/>
          <w:szCs w:val="24"/>
          <w:highlight w:val="none"/>
        </w:rPr>
        <w:t>4、中标人必须采取切实有效措施保持保安队伍的稳定，严格控制非违纪人员轮换岗比例，合同期限内轮换岗保安人数不得超过合同编制的20%</w:t>
      </w:r>
      <w:r>
        <w:rPr>
          <w:rFonts w:hint="eastAsia" w:ascii="仿宋_GB2312" w:hAnsi="仿宋_GB2312" w:eastAsia="仿宋_GB2312" w:cs="仿宋_GB2312"/>
          <w:color w:val="auto"/>
          <w:spacing w:val="0"/>
          <w:position w:val="0"/>
          <w:sz w:val="24"/>
          <w:szCs w:val="24"/>
          <w:highlight w:val="none"/>
          <w:lang w:eastAsia="zh-CN"/>
        </w:rPr>
        <w:t>；</w:t>
      </w:r>
      <w:r>
        <w:rPr>
          <w:rFonts w:hint="eastAsia" w:ascii="仿宋_GB2312" w:hAnsi="仿宋_GB2312" w:eastAsia="仿宋_GB2312" w:cs="仿宋_GB2312"/>
          <w:color w:val="auto"/>
          <w:spacing w:val="0"/>
          <w:position w:val="0"/>
          <w:sz w:val="24"/>
          <w:szCs w:val="24"/>
          <w:highlight w:val="none"/>
        </w:rPr>
        <w:t>保安队伍主要管理人员更换，应提前一个月以书面形式通知采购人，其他队员更换要提前三天告知</w:t>
      </w:r>
      <w:r>
        <w:rPr>
          <w:rFonts w:hint="eastAsia" w:ascii="仿宋_GB2312" w:hAnsi="仿宋_GB2312" w:eastAsia="仿宋_GB2312" w:cs="仿宋_GB2312"/>
          <w:color w:val="auto"/>
          <w:spacing w:val="0"/>
          <w:position w:val="0"/>
          <w:sz w:val="24"/>
          <w:szCs w:val="24"/>
          <w:highlight w:val="none"/>
          <w:lang w:val="en-US" w:eastAsia="zh-CN"/>
        </w:rPr>
        <w:t>采购人</w:t>
      </w:r>
      <w:r>
        <w:rPr>
          <w:rFonts w:hint="eastAsia" w:ascii="仿宋_GB2312" w:hAnsi="仿宋_GB2312" w:eastAsia="仿宋_GB2312" w:cs="仿宋_GB2312"/>
          <w:color w:val="auto"/>
          <w:spacing w:val="0"/>
          <w:position w:val="0"/>
          <w:sz w:val="24"/>
          <w:szCs w:val="24"/>
          <w:highlight w:val="none"/>
        </w:rPr>
        <w:t>，确保服务质量不因人员变动而受影响；</w:t>
      </w:r>
    </w:p>
    <w:p w14:paraId="39A0324C">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2.2.</w:t>
      </w:r>
      <w:r>
        <w:rPr>
          <w:rFonts w:hint="eastAsia" w:ascii="仿宋_GB2312" w:hAnsi="仿宋_GB2312" w:eastAsia="仿宋_GB2312" w:cs="仿宋_GB2312"/>
          <w:color w:val="auto"/>
          <w:spacing w:val="0"/>
          <w:position w:val="0"/>
          <w:sz w:val="24"/>
          <w:szCs w:val="24"/>
          <w:highlight w:val="none"/>
        </w:rPr>
        <w:t>5、保安应聘、录用、离职等管理档案规范，手续齐全，相应资料必须报</w:t>
      </w:r>
      <w:r>
        <w:rPr>
          <w:rFonts w:hint="eastAsia" w:ascii="仿宋_GB2312" w:hAnsi="仿宋_GB2312" w:eastAsia="仿宋_GB2312" w:cs="仿宋_GB2312"/>
          <w:color w:val="auto"/>
          <w:spacing w:val="0"/>
          <w:position w:val="0"/>
          <w:sz w:val="24"/>
          <w:szCs w:val="24"/>
          <w:highlight w:val="none"/>
          <w:lang w:val="en-US" w:eastAsia="zh-CN"/>
        </w:rPr>
        <w:t>采购人</w:t>
      </w:r>
      <w:r>
        <w:rPr>
          <w:rFonts w:hint="eastAsia" w:ascii="仿宋_GB2312" w:hAnsi="仿宋_GB2312" w:eastAsia="仿宋_GB2312" w:cs="仿宋_GB2312"/>
          <w:color w:val="auto"/>
          <w:spacing w:val="0"/>
          <w:position w:val="0"/>
          <w:sz w:val="24"/>
          <w:szCs w:val="24"/>
          <w:highlight w:val="none"/>
        </w:rPr>
        <w:t>备案，禁止离职保安进入校园；</w:t>
      </w:r>
    </w:p>
    <w:p w14:paraId="00543BE5">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2.2.</w:t>
      </w:r>
      <w:r>
        <w:rPr>
          <w:rFonts w:hint="eastAsia" w:ascii="仿宋_GB2312" w:hAnsi="仿宋_GB2312" w:eastAsia="仿宋_GB2312" w:cs="仿宋_GB2312"/>
          <w:color w:val="auto"/>
          <w:spacing w:val="0"/>
          <w:position w:val="0"/>
          <w:sz w:val="24"/>
          <w:szCs w:val="24"/>
          <w:highlight w:val="none"/>
        </w:rPr>
        <w:t>6、要加强对保安业务的管理，确保保安在校园内无违规事件发生；</w:t>
      </w:r>
    </w:p>
    <w:p w14:paraId="46FFCE6D">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snapToGrid w:val="0"/>
          <w:color w:val="auto"/>
          <w:spacing w:val="0"/>
          <w:kern w:val="0"/>
          <w:position w:val="0"/>
          <w:sz w:val="24"/>
          <w:szCs w:val="24"/>
          <w:highlight w:val="none"/>
          <w:lang w:val="en-US" w:eastAsia="zh-CN" w:bidi="ar-SA"/>
        </w:rPr>
      </w:pPr>
      <w:r>
        <w:rPr>
          <w:rFonts w:hint="eastAsia" w:ascii="仿宋_GB2312" w:hAnsi="仿宋_GB2312" w:eastAsia="仿宋_GB2312" w:cs="仿宋_GB2312"/>
          <w:color w:val="auto"/>
          <w:spacing w:val="0"/>
          <w:position w:val="0"/>
          <w:sz w:val="24"/>
          <w:szCs w:val="24"/>
          <w:highlight w:val="none"/>
          <w:lang w:val="en-US" w:eastAsia="zh-CN"/>
        </w:rPr>
        <w:t>2.2.7、保安人员的要求要符合相关部门要求。</w:t>
      </w:r>
    </w:p>
    <w:p w14:paraId="32260939">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2" w:firstLineChars="200"/>
        <w:jc w:val="both"/>
        <w:textAlignment w:val="auto"/>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2.3、</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人员素质要求</w:t>
      </w:r>
    </w:p>
    <w:p w14:paraId="798C6A9F">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2.3.</w:t>
      </w:r>
      <w:r>
        <w:rPr>
          <w:rFonts w:hint="eastAsia" w:ascii="仿宋_GB2312" w:hAnsi="仿宋_GB2312" w:eastAsia="仿宋_GB2312" w:cs="仿宋_GB2312"/>
          <w:color w:val="auto"/>
          <w:spacing w:val="0"/>
          <w:position w:val="0"/>
          <w:sz w:val="24"/>
          <w:szCs w:val="24"/>
          <w:highlight w:val="none"/>
        </w:rPr>
        <w:t>1、保安从业人员应知法，懂法，守法，依法办事，必须严格遵守保安从业规范，模范遵守校园安全管理规定；</w:t>
      </w:r>
    </w:p>
    <w:p w14:paraId="0BBBEA05">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snapToGrid w:val="0"/>
          <w:color w:val="auto"/>
          <w:spacing w:val="0"/>
          <w:kern w:val="0"/>
          <w:position w:val="0"/>
          <w:sz w:val="24"/>
          <w:szCs w:val="24"/>
          <w:highlight w:val="none"/>
          <w:lang w:val="en-US" w:eastAsia="en-US" w:bidi="ar-SA"/>
        </w:rPr>
      </w:pPr>
      <w:r>
        <w:rPr>
          <w:rFonts w:hint="eastAsia" w:ascii="仿宋_GB2312" w:hAnsi="仿宋_GB2312" w:eastAsia="仿宋_GB2312" w:cs="仿宋_GB2312"/>
          <w:color w:val="auto"/>
          <w:spacing w:val="0"/>
          <w:position w:val="0"/>
          <w:sz w:val="24"/>
          <w:szCs w:val="24"/>
          <w:highlight w:val="none"/>
          <w:lang w:val="en-US" w:eastAsia="zh-CN"/>
        </w:rPr>
        <w:t>2.3.2</w:t>
      </w:r>
      <w:r>
        <w:rPr>
          <w:rFonts w:hint="eastAsia" w:ascii="仿宋_GB2312" w:hAnsi="仿宋_GB2312" w:eastAsia="仿宋_GB2312" w:cs="仿宋_GB2312"/>
          <w:color w:val="auto"/>
          <w:spacing w:val="0"/>
          <w:position w:val="0"/>
          <w:sz w:val="24"/>
          <w:szCs w:val="24"/>
          <w:highlight w:val="none"/>
        </w:rPr>
        <w:t>、所聘用的保安人员有吃苦耐劳的精神和高度的责任感，受过专门的岗前培训，熟知采购人的管理规定，严格履行岗位职责，善于发现各类问题，具备一定的管理经验和处理突发事件能力。</w:t>
      </w:r>
    </w:p>
    <w:p w14:paraId="34E32C50">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2" w:firstLineChars="200"/>
        <w:jc w:val="both"/>
        <w:textAlignment w:val="auto"/>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2.4、</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日常工作要求</w:t>
      </w:r>
    </w:p>
    <w:p w14:paraId="48E21C27">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2.4.</w:t>
      </w:r>
      <w:r>
        <w:rPr>
          <w:rFonts w:hint="eastAsia" w:ascii="仿宋_GB2312" w:hAnsi="仿宋_GB2312" w:eastAsia="仿宋_GB2312" w:cs="仿宋_GB2312"/>
          <w:color w:val="auto"/>
          <w:spacing w:val="0"/>
          <w:position w:val="0"/>
          <w:sz w:val="24"/>
          <w:szCs w:val="24"/>
          <w:highlight w:val="none"/>
        </w:rPr>
        <w:t>1、根据行业服务标准与采购人规定要求，在采购人</w:t>
      </w:r>
      <w:r>
        <w:rPr>
          <w:rFonts w:hint="eastAsia" w:ascii="仿宋_GB2312" w:hAnsi="仿宋_GB2312" w:eastAsia="仿宋_GB2312" w:cs="仿宋_GB2312"/>
          <w:color w:val="auto"/>
          <w:spacing w:val="0"/>
          <w:position w:val="0"/>
          <w:sz w:val="24"/>
          <w:szCs w:val="24"/>
          <w:highlight w:val="none"/>
          <w:lang w:eastAsia="zh-CN"/>
        </w:rPr>
        <w:t>保卫处</w:t>
      </w:r>
      <w:r>
        <w:rPr>
          <w:rFonts w:hint="eastAsia" w:ascii="仿宋_GB2312" w:hAnsi="仿宋_GB2312" w:eastAsia="仿宋_GB2312" w:cs="仿宋_GB2312"/>
          <w:color w:val="auto"/>
          <w:spacing w:val="0"/>
          <w:position w:val="0"/>
          <w:sz w:val="24"/>
          <w:szCs w:val="24"/>
          <w:highlight w:val="none"/>
        </w:rPr>
        <w:t>指导下，独立运作，落实校园安全保卫整体方案，并结合校园变化实际在实践中不断完善；</w:t>
      </w:r>
    </w:p>
    <w:p w14:paraId="764D6309">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2.4.</w:t>
      </w:r>
      <w:r>
        <w:rPr>
          <w:rFonts w:hint="eastAsia" w:ascii="仿宋_GB2312" w:hAnsi="仿宋_GB2312" w:eastAsia="仿宋_GB2312" w:cs="仿宋_GB2312"/>
          <w:color w:val="auto"/>
          <w:spacing w:val="0"/>
          <w:position w:val="0"/>
          <w:sz w:val="24"/>
          <w:szCs w:val="24"/>
          <w:highlight w:val="none"/>
        </w:rPr>
        <w:t>2、保安</w:t>
      </w:r>
      <w:r>
        <w:rPr>
          <w:rFonts w:hint="eastAsia" w:ascii="仿宋_GB2312" w:hAnsi="仿宋_GB2312" w:eastAsia="仿宋_GB2312" w:cs="仿宋_GB2312"/>
          <w:color w:val="auto"/>
          <w:spacing w:val="0"/>
          <w:position w:val="0"/>
          <w:sz w:val="24"/>
          <w:szCs w:val="24"/>
          <w:highlight w:val="none"/>
          <w:lang w:val="en-US" w:eastAsia="zh-CN"/>
        </w:rPr>
        <w:t>主管</w:t>
      </w:r>
      <w:r>
        <w:rPr>
          <w:rFonts w:hint="eastAsia" w:ascii="仿宋_GB2312" w:hAnsi="仿宋_GB2312" w:eastAsia="仿宋_GB2312" w:cs="仿宋_GB2312"/>
          <w:color w:val="auto"/>
          <w:spacing w:val="0"/>
          <w:position w:val="0"/>
          <w:sz w:val="24"/>
          <w:szCs w:val="24"/>
          <w:highlight w:val="none"/>
        </w:rPr>
        <w:t>每天必须向</w:t>
      </w:r>
      <w:r>
        <w:rPr>
          <w:rFonts w:hint="eastAsia" w:ascii="仿宋_GB2312" w:hAnsi="仿宋_GB2312" w:eastAsia="仿宋_GB2312" w:cs="仿宋_GB2312"/>
          <w:color w:val="auto"/>
          <w:spacing w:val="0"/>
          <w:position w:val="0"/>
          <w:sz w:val="24"/>
          <w:szCs w:val="24"/>
          <w:highlight w:val="none"/>
          <w:lang w:eastAsia="zh-CN"/>
        </w:rPr>
        <w:t>保卫处</w:t>
      </w:r>
      <w:r>
        <w:rPr>
          <w:rFonts w:hint="eastAsia" w:ascii="仿宋_GB2312" w:hAnsi="仿宋_GB2312" w:eastAsia="仿宋_GB2312" w:cs="仿宋_GB2312"/>
          <w:color w:val="auto"/>
          <w:spacing w:val="0"/>
          <w:position w:val="0"/>
          <w:sz w:val="24"/>
          <w:szCs w:val="24"/>
          <w:highlight w:val="none"/>
          <w:lang w:val="en-US" w:eastAsia="zh-CN"/>
        </w:rPr>
        <w:t>具体</w:t>
      </w:r>
      <w:r>
        <w:rPr>
          <w:rFonts w:hint="eastAsia" w:ascii="仿宋_GB2312" w:hAnsi="仿宋_GB2312" w:eastAsia="仿宋_GB2312" w:cs="仿宋_GB2312"/>
          <w:color w:val="auto"/>
          <w:spacing w:val="0"/>
          <w:position w:val="0"/>
          <w:sz w:val="24"/>
          <w:szCs w:val="24"/>
          <w:highlight w:val="none"/>
        </w:rPr>
        <w:t>负责人口头汇报工作，每星期向采购人</w:t>
      </w:r>
      <w:r>
        <w:rPr>
          <w:rFonts w:hint="eastAsia" w:ascii="仿宋_GB2312" w:hAnsi="仿宋_GB2312" w:eastAsia="仿宋_GB2312" w:cs="仿宋_GB2312"/>
          <w:color w:val="auto"/>
          <w:spacing w:val="0"/>
          <w:position w:val="0"/>
          <w:sz w:val="24"/>
          <w:szCs w:val="24"/>
          <w:highlight w:val="none"/>
          <w:lang w:val="en-US" w:eastAsia="zh-CN"/>
        </w:rPr>
        <w:t>保卫处部门负责人</w:t>
      </w:r>
      <w:r>
        <w:rPr>
          <w:rFonts w:hint="eastAsia" w:ascii="仿宋_GB2312" w:hAnsi="仿宋_GB2312" w:eastAsia="仿宋_GB2312" w:cs="仿宋_GB2312"/>
          <w:color w:val="auto"/>
          <w:spacing w:val="0"/>
          <w:position w:val="0"/>
          <w:sz w:val="24"/>
          <w:szCs w:val="24"/>
          <w:highlight w:val="none"/>
        </w:rPr>
        <w:t>书面汇报一次所承担的保安工作开展情况及信息反馈，重大情况须及时报告；</w:t>
      </w:r>
    </w:p>
    <w:p w14:paraId="5A4EB4A8">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2.4.</w:t>
      </w:r>
      <w:r>
        <w:rPr>
          <w:rFonts w:hint="eastAsia" w:ascii="仿宋_GB2312" w:hAnsi="仿宋_GB2312" w:eastAsia="仿宋_GB2312" w:cs="仿宋_GB2312"/>
          <w:color w:val="auto"/>
          <w:spacing w:val="0"/>
          <w:position w:val="0"/>
          <w:sz w:val="24"/>
          <w:szCs w:val="24"/>
          <w:highlight w:val="none"/>
        </w:rPr>
        <w:t>3、做好详细的执勤记录，原始台帐保存完好，以备核查；</w:t>
      </w:r>
    </w:p>
    <w:p w14:paraId="351C4419">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2.4.</w:t>
      </w:r>
      <w:r>
        <w:rPr>
          <w:rFonts w:hint="eastAsia" w:ascii="仿宋_GB2312" w:hAnsi="仿宋_GB2312" w:eastAsia="仿宋_GB2312" w:cs="仿宋_GB2312"/>
          <w:color w:val="auto"/>
          <w:spacing w:val="0"/>
          <w:position w:val="0"/>
          <w:sz w:val="24"/>
          <w:szCs w:val="24"/>
          <w:highlight w:val="none"/>
        </w:rPr>
        <w:t>4、与采购人其他安保力量协作联动，开展一体化安全防范；</w:t>
      </w:r>
    </w:p>
    <w:p w14:paraId="57363B00">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2.5、</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安保服务操作的基本要求</w:t>
      </w:r>
    </w:p>
    <w:p w14:paraId="6BE820A0">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2.5.</w:t>
      </w:r>
      <w:r>
        <w:rPr>
          <w:rFonts w:hint="eastAsia" w:ascii="仿宋_GB2312" w:hAnsi="仿宋_GB2312" w:eastAsia="仿宋_GB2312" w:cs="仿宋_GB2312"/>
          <w:color w:val="auto"/>
          <w:spacing w:val="0"/>
          <w:position w:val="0"/>
          <w:sz w:val="24"/>
          <w:szCs w:val="24"/>
          <w:highlight w:val="none"/>
        </w:rPr>
        <w:t>1、安保服务操作应按照国家《保安服务管理条例》及有关法律、法规、规章及政策规定进行，属于合同约定的安保服务职责范围内的事项按合同实施，不属于安保服务职责范围的事项，依法交有关部门处理。</w:t>
      </w:r>
    </w:p>
    <w:p w14:paraId="56E089E9">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2.5.</w:t>
      </w:r>
      <w:r>
        <w:rPr>
          <w:rFonts w:hint="eastAsia" w:ascii="仿宋_GB2312" w:hAnsi="仿宋_GB2312" w:eastAsia="仿宋_GB2312" w:cs="仿宋_GB2312"/>
          <w:color w:val="auto"/>
          <w:spacing w:val="0"/>
          <w:position w:val="0"/>
          <w:sz w:val="24"/>
          <w:szCs w:val="24"/>
          <w:highlight w:val="none"/>
        </w:rPr>
        <w:t>2、</w:t>
      </w:r>
      <w:r>
        <w:rPr>
          <w:rFonts w:hint="eastAsia" w:ascii="仿宋_GB2312" w:hAnsi="仿宋_GB2312" w:eastAsia="仿宋_GB2312" w:cs="仿宋_GB2312"/>
          <w:color w:val="auto"/>
          <w:spacing w:val="0"/>
          <w:position w:val="0"/>
          <w:sz w:val="24"/>
          <w:szCs w:val="24"/>
          <w:highlight w:val="none"/>
          <w:lang w:eastAsia="zh-CN"/>
        </w:rPr>
        <w:t>中标人</w:t>
      </w:r>
      <w:r>
        <w:rPr>
          <w:rFonts w:hint="eastAsia" w:ascii="仿宋_GB2312" w:hAnsi="仿宋_GB2312" w:eastAsia="仿宋_GB2312" w:cs="仿宋_GB2312"/>
          <w:color w:val="auto"/>
          <w:spacing w:val="0"/>
          <w:position w:val="0"/>
          <w:sz w:val="24"/>
          <w:szCs w:val="24"/>
          <w:highlight w:val="none"/>
        </w:rPr>
        <w:t>应依照合同约定为采购人提供现场安全保卫服务，维护现场安全和秩序，防止或减少受到不法侵害或灾害事故的发生，有效避免因保安公司责任造成损失，满足现场安全保卫工作的需求。</w:t>
      </w:r>
    </w:p>
    <w:p w14:paraId="743A02A8">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2.5.</w:t>
      </w:r>
      <w:r>
        <w:rPr>
          <w:rFonts w:hint="eastAsia" w:ascii="仿宋_GB2312" w:hAnsi="仿宋_GB2312" w:eastAsia="仿宋_GB2312" w:cs="仿宋_GB2312"/>
          <w:color w:val="auto"/>
          <w:spacing w:val="0"/>
          <w:position w:val="0"/>
          <w:sz w:val="24"/>
          <w:szCs w:val="24"/>
          <w:highlight w:val="none"/>
        </w:rPr>
        <w:t>3、</w:t>
      </w:r>
      <w:r>
        <w:rPr>
          <w:rFonts w:hint="eastAsia" w:ascii="仿宋_GB2312" w:hAnsi="仿宋_GB2312" w:eastAsia="仿宋_GB2312" w:cs="仿宋_GB2312"/>
          <w:color w:val="auto"/>
          <w:spacing w:val="0"/>
          <w:position w:val="0"/>
          <w:sz w:val="24"/>
          <w:szCs w:val="24"/>
          <w:highlight w:val="none"/>
          <w:lang w:eastAsia="zh-CN"/>
        </w:rPr>
        <w:t>中标人</w:t>
      </w:r>
      <w:r>
        <w:rPr>
          <w:rFonts w:hint="eastAsia" w:ascii="仿宋_GB2312" w:hAnsi="仿宋_GB2312" w:eastAsia="仿宋_GB2312" w:cs="仿宋_GB2312"/>
          <w:color w:val="auto"/>
          <w:spacing w:val="0"/>
          <w:position w:val="0"/>
          <w:sz w:val="24"/>
          <w:szCs w:val="24"/>
          <w:highlight w:val="none"/>
        </w:rPr>
        <w:t>根据现场保卫工作需要，应提供安保服务中的门卫服务、消防技术服务、守护服务、监控值班、巡逻、保卫专区服务，现场车辆超速超载检查。</w:t>
      </w:r>
    </w:p>
    <w:p w14:paraId="27CB76E5">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2.5.</w:t>
      </w:r>
      <w:r>
        <w:rPr>
          <w:rFonts w:hint="eastAsia" w:ascii="仿宋_GB2312" w:hAnsi="仿宋_GB2312" w:eastAsia="仿宋_GB2312" w:cs="仿宋_GB2312"/>
          <w:color w:val="auto"/>
          <w:spacing w:val="0"/>
          <w:position w:val="0"/>
          <w:sz w:val="24"/>
          <w:szCs w:val="24"/>
          <w:highlight w:val="none"/>
        </w:rPr>
        <w:t>4、</w:t>
      </w:r>
      <w:r>
        <w:rPr>
          <w:rFonts w:hint="eastAsia" w:ascii="仿宋_GB2312" w:hAnsi="仿宋_GB2312" w:eastAsia="仿宋_GB2312" w:cs="仿宋_GB2312"/>
          <w:color w:val="auto"/>
          <w:spacing w:val="0"/>
          <w:position w:val="0"/>
          <w:sz w:val="24"/>
          <w:szCs w:val="24"/>
          <w:highlight w:val="none"/>
          <w:lang w:eastAsia="zh-CN"/>
        </w:rPr>
        <w:t>中标人</w:t>
      </w:r>
      <w:r>
        <w:rPr>
          <w:rFonts w:hint="eastAsia" w:ascii="仿宋_GB2312" w:hAnsi="仿宋_GB2312" w:eastAsia="仿宋_GB2312" w:cs="仿宋_GB2312"/>
          <w:color w:val="auto"/>
          <w:spacing w:val="0"/>
          <w:position w:val="0"/>
          <w:sz w:val="24"/>
          <w:szCs w:val="24"/>
          <w:highlight w:val="none"/>
        </w:rPr>
        <w:t>应随着本项目的实际情况,按照采购人要求适时调整安保服务的内容，执行不同阶段安保服务方案与应急预案，以适应各种情况下的安保服务需求。</w:t>
      </w:r>
    </w:p>
    <w:p w14:paraId="4912C4E8">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2.5.</w:t>
      </w:r>
      <w:r>
        <w:rPr>
          <w:rFonts w:hint="eastAsia" w:ascii="仿宋_GB2312" w:hAnsi="仿宋_GB2312" w:eastAsia="仿宋_GB2312" w:cs="仿宋_GB2312"/>
          <w:color w:val="auto"/>
          <w:spacing w:val="0"/>
          <w:position w:val="0"/>
          <w:sz w:val="24"/>
          <w:szCs w:val="24"/>
          <w:highlight w:val="none"/>
        </w:rPr>
        <w:t>5、</w:t>
      </w:r>
      <w:r>
        <w:rPr>
          <w:rFonts w:hint="eastAsia" w:ascii="仿宋_GB2312" w:hAnsi="仿宋_GB2312" w:eastAsia="仿宋_GB2312" w:cs="仿宋_GB2312"/>
          <w:color w:val="auto"/>
          <w:spacing w:val="0"/>
          <w:position w:val="0"/>
          <w:sz w:val="24"/>
          <w:szCs w:val="24"/>
          <w:highlight w:val="none"/>
          <w:lang w:eastAsia="zh-CN"/>
        </w:rPr>
        <w:t>中标人</w:t>
      </w:r>
      <w:r>
        <w:rPr>
          <w:rFonts w:hint="eastAsia" w:ascii="仿宋_GB2312" w:hAnsi="仿宋_GB2312" w:eastAsia="仿宋_GB2312" w:cs="仿宋_GB2312"/>
          <w:color w:val="auto"/>
          <w:spacing w:val="0"/>
          <w:position w:val="0"/>
          <w:sz w:val="24"/>
          <w:szCs w:val="24"/>
          <w:highlight w:val="none"/>
        </w:rPr>
        <w:t>应对本项目的信息、资料进行保密，未经允许，</w:t>
      </w:r>
      <w:r>
        <w:rPr>
          <w:rFonts w:hint="eastAsia" w:ascii="仿宋_GB2312" w:hAnsi="仿宋_GB2312" w:eastAsia="仿宋_GB2312" w:cs="仿宋_GB2312"/>
          <w:color w:val="auto"/>
          <w:spacing w:val="0"/>
          <w:position w:val="0"/>
          <w:sz w:val="24"/>
          <w:szCs w:val="24"/>
          <w:highlight w:val="none"/>
          <w:lang w:eastAsia="zh-CN"/>
        </w:rPr>
        <w:t>中标人</w:t>
      </w:r>
      <w:r>
        <w:rPr>
          <w:rFonts w:hint="eastAsia" w:ascii="仿宋_GB2312" w:hAnsi="仿宋_GB2312" w:eastAsia="仿宋_GB2312" w:cs="仿宋_GB2312"/>
          <w:color w:val="auto"/>
          <w:spacing w:val="0"/>
          <w:position w:val="0"/>
          <w:sz w:val="24"/>
          <w:szCs w:val="24"/>
          <w:highlight w:val="none"/>
        </w:rPr>
        <w:t>任何人员不得对外泄露。</w:t>
      </w:r>
    </w:p>
    <w:p w14:paraId="5B385C8E">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2.5.</w:t>
      </w:r>
      <w:r>
        <w:rPr>
          <w:rFonts w:hint="eastAsia" w:ascii="仿宋_GB2312" w:hAnsi="仿宋_GB2312" w:eastAsia="仿宋_GB2312" w:cs="仿宋_GB2312"/>
          <w:color w:val="auto"/>
          <w:spacing w:val="0"/>
          <w:position w:val="0"/>
          <w:sz w:val="24"/>
          <w:szCs w:val="24"/>
          <w:highlight w:val="none"/>
        </w:rPr>
        <w:t>6、安保的具体服务要求和岗位职责将按照配备环境而定。</w:t>
      </w:r>
    </w:p>
    <w:p w14:paraId="0F59BCED">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2.5.</w:t>
      </w:r>
      <w:r>
        <w:rPr>
          <w:rFonts w:hint="eastAsia" w:ascii="仿宋_GB2312" w:hAnsi="仿宋_GB2312" w:eastAsia="仿宋_GB2312" w:cs="仿宋_GB2312"/>
          <w:color w:val="auto"/>
          <w:spacing w:val="0"/>
          <w:position w:val="0"/>
          <w:sz w:val="24"/>
          <w:szCs w:val="24"/>
          <w:highlight w:val="none"/>
        </w:rPr>
        <w:t>7、</w:t>
      </w:r>
      <w:r>
        <w:rPr>
          <w:rFonts w:hint="eastAsia" w:ascii="仿宋_GB2312" w:hAnsi="仿宋_GB2312" w:eastAsia="仿宋_GB2312" w:cs="仿宋_GB2312"/>
          <w:color w:val="auto"/>
          <w:spacing w:val="0"/>
          <w:position w:val="0"/>
          <w:sz w:val="24"/>
          <w:szCs w:val="24"/>
          <w:highlight w:val="none"/>
          <w:lang w:eastAsia="zh-CN"/>
        </w:rPr>
        <w:t>中标人</w:t>
      </w:r>
      <w:r>
        <w:rPr>
          <w:rFonts w:hint="eastAsia" w:ascii="仿宋_GB2312" w:hAnsi="仿宋_GB2312" w:eastAsia="仿宋_GB2312" w:cs="仿宋_GB2312"/>
          <w:color w:val="auto"/>
          <w:spacing w:val="0"/>
          <w:position w:val="0"/>
          <w:sz w:val="24"/>
          <w:szCs w:val="24"/>
          <w:highlight w:val="none"/>
        </w:rPr>
        <w:t>将自行承担为保安员配备开展保安服务所必需使用的制服、保安物品、材料、维修配件、通讯设备、办公设备、强光灯、便携式灭火器、警棍、笔记本、喇叭、警戒线、至少每五人一台执法记录仪和软件等。</w:t>
      </w:r>
    </w:p>
    <w:p w14:paraId="7FF7AAB5">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2.5.</w:t>
      </w:r>
      <w:r>
        <w:rPr>
          <w:rFonts w:hint="eastAsia" w:ascii="仿宋_GB2312" w:hAnsi="仿宋_GB2312" w:eastAsia="仿宋_GB2312" w:cs="仿宋_GB2312"/>
          <w:color w:val="auto"/>
          <w:spacing w:val="0"/>
          <w:position w:val="0"/>
          <w:sz w:val="24"/>
          <w:szCs w:val="24"/>
          <w:highlight w:val="none"/>
        </w:rPr>
        <w:t>8、投标人中标后的保安员实行双重领导，行政上隶属中标人，业务上服从</w:t>
      </w:r>
      <w:r>
        <w:rPr>
          <w:rFonts w:hint="eastAsia" w:ascii="仿宋_GB2312" w:hAnsi="仿宋_GB2312" w:eastAsia="仿宋_GB2312" w:cs="仿宋_GB2312"/>
          <w:color w:val="auto"/>
          <w:spacing w:val="0"/>
          <w:position w:val="0"/>
          <w:sz w:val="24"/>
          <w:szCs w:val="24"/>
          <w:highlight w:val="none"/>
          <w:lang w:val="en-US" w:eastAsia="zh-CN"/>
        </w:rPr>
        <w:t>采购人保卫处</w:t>
      </w:r>
      <w:r>
        <w:rPr>
          <w:rFonts w:hint="eastAsia" w:ascii="仿宋_GB2312" w:hAnsi="仿宋_GB2312" w:eastAsia="仿宋_GB2312" w:cs="仿宋_GB2312"/>
          <w:color w:val="auto"/>
          <w:spacing w:val="0"/>
          <w:position w:val="0"/>
          <w:sz w:val="24"/>
          <w:szCs w:val="24"/>
          <w:highlight w:val="none"/>
        </w:rPr>
        <w:t>指导，严守采购人有关秘密，严格履行保安有关工作职责，执行、遵守采购人各项管理规章制度、规定。</w:t>
      </w:r>
    </w:p>
    <w:p w14:paraId="1F07F838">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2" w:firstLineChars="200"/>
        <w:jc w:val="both"/>
        <w:textAlignment w:val="auto"/>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2.6、</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消防监控</w:t>
      </w: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值守</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服务</w:t>
      </w:r>
    </w:p>
    <w:p w14:paraId="3F18DA29">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2.6.</w:t>
      </w:r>
      <w:r>
        <w:rPr>
          <w:rFonts w:hint="eastAsia" w:ascii="仿宋_GB2312" w:hAnsi="仿宋_GB2312" w:eastAsia="仿宋_GB2312" w:cs="仿宋_GB2312"/>
          <w:color w:val="auto"/>
          <w:spacing w:val="0"/>
          <w:position w:val="0"/>
          <w:sz w:val="24"/>
          <w:szCs w:val="24"/>
          <w:highlight w:val="none"/>
        </w:rPr>
        <w:t>1、正确操作监控设备，熟练掌握监控专项业务技能。</w:t>
      </w:r>
    </w:p>
    <w:p w14:paraId="4EC3D87D">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eastAsia="zh-CN"/>
        </w:rPr>
      </w:pPr>
      <w:r>
        <w:rPr>
          <w:rFonts w:hint="eastAsia" w:ascii="仿宋_GB2312" w:hAnsi="仿宋_GB2312" w:eastAsia="仿宋_GB2312" w:cs="仿宋_GB2312"/>
          <w:color w:val="auto"/>
          <w:spacing w:val="0"/>
          <w:position w:val="0"/>
          <w:sz w:val="24"/>
          <w:szCs w:val="24"/>
          <w:highlight w:val="none"/>
          <w:lang w:val="en-US" w:eastAsia="zh-CN"/>
        </w:rPr>
        <w:t>2.6.</w:t>
      </w:r>
      <w:r>
        <w:rPr>
          <w:rFonts w:hint="eastAsia" w:ascii="仿宋_GB2312" w:hAnsi="仿宋_GB2312" w:eastAsia="仿宋_GB2312" w:cs="仿宋_GB2312"/>
          <w:color w:val="auto"/>
          <w:spacing w:val="0"/>
          <w:position w:val="0"/>
          <w:sz w:val="24"/>
          <w:szCs w:val="24"/>
          <w:highlight w:val="none"/>
        </w:rPr>
        <w:t>2、明确监控目的，熟悉被监控区域情况。</w:t>
      </w:r>
    </w:p>
    <w:p w14:paraId="255B3A03">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2.6.</w:t>
      </w:r>
      <w:r>
        <w:rPr>
          <w:rFonts w:hint="eastAsia" w:ascii="仿宋_GB2312" w:hAnsi="仿宋_GB2312" w:eastAsia="仿宋_GB2312" w:cs="仿宋_GB2312"/>
          <w:color w:val="auto"/>
          <w:spacing w:val="0"/>
          <w:position w:val="0"/>
          <w:sz w:val="24"/>
          <w:szCs w:val="24"/>
          <w:highlight w:val="none"/>
        </w:rPr>
        <w:t>3、做好各项设备运行记录，使其始终处于正常状态。</w:t>
      </w:r>
    </w:p>
    <w:p w14:paraId="48203D41">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2.6.</w:t>
      </w:r>
      <w:r>
        <w:rPr>
          <w:rFonts w:hint="eastAsia" w:ascii="仿宋_GB2312" w:hAnsi="仿宋_GB2312" w:eastAsia="仿宋_GB2312" w:cs="仿宋_GB2312"/>
          <w:color w:val="auto"/>
          <w:spacing w:val="0"/>
          <w:position w:val="0"/>
          <w:sz w:val="24"/>
          <w:szCs w:val="24"/>
          <w:highlight w:val="none"/>
        </w:rPr>
        <w:t>4、定期对操作设备进行保养与检查，确保设备的正常运行。</w:t>
      </w:r>
    </w:p>
    <w:p w14:paraId="0B0656A8">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2.6.</w:t>
      </w:r>
      <w:r>
        <w:rPr>
          <w:rFonts w:hint="eastAsia" w:ascii="仿宋_GB2312" w:hAnsi="仿宋_GB2312" w:eastAsia="仿宋_GB2312" w:cs="仿宋_GB2312"/>
          <w:color w:val="auto"/>
          <w:spacing w:val="0"/>
          <w:position w:val="0"/>
          <w:sz w:val="24"/>
          <w:szCs w:val="24"/>
          <w:highlight w:val="none"/>
        </w:rPr>
        <w:t>5、注意与各岗位各部门之间的相互配合与协助。</w:t>
      </w:r>
    </w:p>
    <w:p w14:paraId="481EE705">
      <w:pPr>
        <w:pStyle w:val="5"/>
        <w:keepNext w:val="0"/>
        <w:keepLines w:val="0"/>
        <w:pageBreakBefore w:val="0"/>
        <w:kinsoku/>
        <w:wordWrap/>
        <w:overflowPunct/>
        <w:topLinePunct w:val="0"/>
        <w:autoSpaceDE w:val="0"/>
        <w:autoSpaceDN w:val="0"/>
        <w:bidi w:val="0"/>
        <w:adjustRightInd/>
        <w:snapToGrid/>
        <w:spacing w:after="0" w:afterLines="0"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2.6.</w:t>
      </w:r>
      <w:r>
        <w:rPr>
          <w:rFonts w:hint="eastAsia" w:ascii="仿宋_GB2312" w:hAnsi="仿宋_GB2312" w:eastAsia="仿宋_GB2312" w:cs="仿宋_GB2312"/>
          <w:color w:val="auto"/>
          <w:spacing w:val="0"/>
          <w:position w:val="0"/>
          <w:sz w:val="24"/>
          <w:szCs w:val="24"/>
          <w:highlight w:val="none"/>
        </w:rPr>
        <w:t>6、保持监控室的整洁，卫生干净</w:t>
      </w:r>
      <w:r>
        <w:rPr>
          <w:rFonts w:hint="eastAsia" w:ascii="仿宋_GB2312" w:hAnsi="仿宋_GB2312" w:eastAsia="仿宋_GB2312" w:cs="仿宋_GB2312"/>
          <w:color w:val="auto"/>
          <w:spacing w:val="0"/>
          <w:position w:val="0"/>
          <w:sz w:val="24"/>
          <w:szCs w:val="24"/>
          <w:highlight w:val="none"/>
          <w:lang w:eastAsia="zh-CN"/>
        </w:rPr>
        <w:t>。</w:t>
      </w:r>
    </w:p>
    <w:p w14:paraId="13D4D4BC">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2.7、</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公共秩序维护</w:t>
      </w:r>
    </w:p>
    <w:p w14:paraId="714ED46A">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2.7.1、根据安防目标、区域情况制定安全防范措施，设置值班制度，建立、完善校内门卫、安保、车辆、道路及公共秩序等管理制度和岗位职责，并认真落实；做好对进出人员、车辆的检查和安全管理工作；定期进行消防演习，保证消防通道畅通。</w:t>
      </w:r>
    </w:p>
    <w:p w14:paraId="0B67EA95">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2.7.2、安保人员熟悉校园内的环境，文明执勤训练有素言语规范认真负责，实行准军事化管理，定期组织考核，提高安保人员业务技能和自身素质，确保校内外治安秩序良好。</w:t>
      </w:r>
    </w:p>
    <w:p w14:paraId="29C21DEB">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2.7.3、强化和规范各类突发事件应急处置工作，制定突发事件的应急预案及处理程序，提高应对突发事件的能力，形成处理突发事件的流程及组织指挥体系。</w:t>
      </w:r>
    </w:p>
    <w:p w14:paraId="6F71E763">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2.7.4确保安全有序，治安案件案发率为零，无任何重大事故发生。</w:t>
      </w:r>
    </w:p>
    <w:p w14:paraId="60CE1ED5">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2.7.5、安全和事故隐患、突发事件处置迅速有效，发生意外情况及时排除。</w:t>
      </w:r>
    </w:p>
    <w:p w14:paraId="5FC64E56">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rPr>
          <w:rFonts w:hint="eastAsia" w:ascii="仿宋_GB2312" w:hAnsi="仿宋_GB2312" w:eastAsia="仿宋_GB2312" w:cs="仿宋_GB2312"/>
          <w:b/>
          <w:bCs/>
          <w:color w:val="auto"/>
          <w:spacing w:val="0"/>
          <w:position w:val="0"/>
          <w:sz w:val="24"/>
          <w:szCs w:val="24"/>
          <w:highlight w:val="none"/>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2.8、</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安全防范</w:t>
      </w: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（门岗安保）</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w:t>
      </w:r>
    </w:p>
    <w:p w14:paraId="6EC2424F">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2.8.1、门岗安保人员要文明执勤，礼貌待人，树立良好的窗口形象。</w:t>
      </w:r>
    </w:p>
    <w:p w14:paraId="667659B5">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2.8.2、按照校方规定，严格人员、车辆、物资进、出管理。做好来人、来车的联系工作，对出、入单位人员的身份、证件和所携带物品，严格按照安防“四个一”要求对外来人员进行，进行检查、验证、登记和准入程序,征得相关部门或人员同意后，方可放行入校，否则应劝其离开。有效控制外部无关人员进入校区，禁止闲杂人员(如流浪乞讨者、收废物者、发传单者等等)混入校区，禁止大型动物、宠物进入校区。</w:t>
      </w:r>
    </w:p>
    <w:p w14:paraId="26275918">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2.8.3、对携物出门实行验审制度，防止财物流失。每天晚上按照学校要求关闭大门，夜间在有人、车通过时应及时打开和关闭岗位大门，次日按要求开门，并做好门前卫生清扫。</w:t>
      </w:r>
    </w:p>
    <w:p w14:paraId="096BC632">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2.8.4、对外单位车辆实行入校询问登记制度，禁止载有危险(易燃易爆)、有毒、有害物品的车辆进入校区。做好进出车辆的疏通工作，使车辆通畅无阻、有秩序的进出，防止车辆在大门口集聚或者抢进、抢出，造成秩序混乱，交通堵塞以及事故的发生。阻止在正大门外门口处长时间停放车辆。</w:t>
      </w:r>
    </w:p>
    <w:p w14:paraId="2D18AF69">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2.8.5、维护各责任区域秩序，与各巡逻岗、监控岗和护学岗及其它门卫岗互通信息，加强防控。值班室无闲杂人员滞留，不存放与岗位无关的物品等，保持内外环境整洁卫生，门前卫生实行三包，在下岗前30分钟做完交班，并完成校区交办的其他事项。</w:t>
      </w:r>
    </w:p>
    <w:p w14:paraId="270B1D17">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 xml:space="preserve">2.8.6、做好视线范围内闲杂人员的清理工作，发现可疑的人、事要及时向学校和公安机关报告，取得联系，并主动配合维稳部门和公安机关的工作。 </w:t>
      </w:r>
    </w:p>
    <w:p w14:paraId="783C49AC">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2.8.7、对进出校门的师生佩戴头盔情况进行查处和监督，对违反学校对佩戴头盔要求的要及时等级并汇总上报维稳处，劝导校门口附近违规停放车辆等行为。</w:t>
      </w:r>
    </w:p>
    <w:p w14:paraId="094B7331">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2.8.8、熟练掌握一键报警装置，规范操作安防设备，具有处置微小突发事件的能力。</w:t>
      </w:r>
    </w:p>
    <w:p w14:paraId="7E0D068A">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2.8.9、参与在学校组织或承办的考试及其他重大活动等工作的安保工作。</w:t>
      </w:r>
    </w:p>
    <w:p w14:paraId="56BDFDBE">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2.8.10、门卫保安人员实行24小时值班制度，保安人员在执勤期间必须坚守岗位，不得擅离职守，执勤时间不得打瞌睡、玩手机，不得做与工作无关的事情。</w:t>
      </w:r>
    </w:p>
    <w:p w14:paraId="631A92EA">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outlineLvl w:val="9"/>
        <w:rPr>
          <w:rFonts w:hint="eastAsia" w:ascii="仿宋_GB2312" w:hAnsi="仿宋_GB2312" w:eastAsia="仿宋_GB2312" w:cs="仿宋_GB2312"/>
          <w:b/>
          <w:bCs/>
          <w:color w:val="auto"/>
          <w:spacing w:val="0"/>
          <w:position w:val="0"/>
          <w:sz w:val="24"/>
          <w:szCs w:val="24"/>
          <w:highlight w:val="none"/>
        </w:rPr>
      </w:pPr>
      <w:r>
        <w:rPr>
          <w:rFonts w:hint="eastAsia" w:ascii="仿宋_GB2312" w:hAnsi="仿宋_GB2312" w:eastAsia="仿宋_GB2312" w:cs="仿宋_GB2312"/>
          <w:b/>
          <w:bCs/>
          <w:color w:val="auto"/>
          <w:spacing w:val="0"/>
          <w:position w:val="0"/>
          <w:sz w:val="24"/>
          <w:szCs w:val="24"/>
          <w:highlight w:val="none"/>
          <w:lang w:val="en-US" w:eastAsia="zh-CN"/>
        </w:rPr>
        <w:t>2.9、</w:t>
      </w:r>
      <w:r>
        <w:rPr>
          <w:rFonts w:hint="eastAsia" w:ascii="仿宋_GB2312" w:hAnsi="仿宋_GB2312" w:eastAsia="仿宋_GB2312" w:cs="仿宋_GB2312"/>
          <w:b/>
          <w:bCs/>
          <w:color w:val="auto"/>
          <w:spacing w:val="0"/>
          <w:position w:val="0"/>
          <w:sz w:val="24"/>
          <w:szCs w:val="24"/>
          <w:highlight w:val="none"/>
        </w:rPr>
        <w:t>巡查巡逻：</w:t>
      </w:r>
    </w:p>
    <w:p w14:paraId="78011C81">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outlineLvl w:val="9"/>
        <w:rPr>
          <w:rFonts w:hint="eastAsia" w:ascii="仿宋_GB2312" w:hAnsi="仿宋_GB2312" w:eastAsia="仿宋_GB2312" w:cs="仿宋_GB2312"/>
          <w:color w:val="auto"/>
          <w:spacing w:val="0"/>
          <w:position w:val="0"/>
          <w:sz w:val="24"/>
          <w:szCs w:val="24"/>
          <w:highlight w:val="none"/>
          <w:lang w:eastAsia="zh-CN"/>
        </w:rPr>
      </w:pPr>
      <w:r>
        <w:rPr>
          <w:rFonts w:hint="eastAsia" w:ascii="仿宋_GB2312" w:hAnsi="仿宋_GB2312" w:eastAsia="仿宋_GB2312" w:cs="仿宋_GB2312"/>
          <w:color w:val="auto"/>
          <w:spacing w:val="0"/>
          <w:position w:val="0"/>
          <w:sz w:val="24"/>
          <w:szCs w:val="24"/>
          <w:highlight w:val="none"/>
          <w:lang w:val="en-US" w:eastAsia="zh-CN"/>
        </w:rPr>
        <w:t>2.9.1、</w:t>
      </w:r>
      <w:r>
        <w:rPr>
          <w:rFonts w:hint="eastAsia" w:ascii="仿宋_GB2312" w:hAnsi="仿宋_GB2312" w:eastAsia="仿宋_GB2312" w:cs="仿宋_GB2312"/>
          <w:color w:val="auto"/>
          <w:spacing w:val="0"/>
          <w:position w:val="0"/>
          <w:sz w:val="24"/>
          <w:szCs w:val="24"/>
          <w:highlight w:val="none"/>
        </w:rPr>
        <w:t>定时对</w:t>
      </w:r>
      <w:r>
        <w:rPr>
          <w:rFonts w:hint="eastAsia" w:ascii="仿宋_GB2312" w:hAnsi="仿宋_GB2312" w:eastAsia="仿宋_GB2312" w:cs="仿宋_GB2312"/>
          <w:color w:val="auto"/>
          <w:spacing w:val="0"/>
          <w:position w:val="0"/>
          <w:sz w:val="24"/>
          <w:szCs w:val="24"/>
          <w:highlight w:val="none"/>
          <w:lang w:val="en-US" w:eastAsia="zh-CN"/>
        </w:rPr>
        <w:t>校</w:t>
      </w:r>
      <w:r>
        <w:rPr>
          <w:rFonts w:hint="eastAsia" w:ascii="仿宋_GB2312" w:hAnsi="仿宋_GB2312" w:eastAsia="仿宋_GB2312" w:cs="仿宋_GB2312"/>
          <w:color w:val="auto"/>
          <w:spacing w:val="0"/>
          <w:position w:val="0"/>
          <w:sz w:val="24"/>
          <w:szCs w:val="24"/>
          <w:highlight w:val="none"/>
        </w:rPr>
        <w:t>内进行巡逻巡查</w:t>
      </w:r>
      <w:r>
        <w:rPr>
          <w:rFonts w:hint="eastAsia" w:ascii="仿宋_GB2312" w:hAnsi="仿宋_GB2312" w:eastAsia="仿宋_GB2312" w:cs="仿宋_GB2312"/>
          <w:color w:val="auto"/>
          <w:spacing w:val="0"/>
          <w:position w:val="0"/>
          <w:sz w:val="24"/>
          <w:szCs w:val="24"/>
          <w:highlight w:val="none"/>
          <w:lang w:eastAsia="zh-CN"/>
        </w:rPr>
        <w:t>，对巡查、值守及异常情况等做好相关记录，填写规范、保存完好。</w:t>
      </w:r>
    </w:p>
    <w:p w14:paraId="0EA8BD59">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outlineLvl w:val="9"/>
        <w:rPr>
          <w:rFonts w:hint="eastAsia" w:ascii="仿宋_GB2312" w:hAnsi="仿宋_GB2312" w:eastAsia="仿宋_GB2312" w:cs="仿宋_GB2312"/>
          <w:color w:val="auto"/>
          <w:spacing w:val="0"/>
          <w:position w:val="0"/>
          <w:sz w:val="24"/>
          <w:szCs w:val="24"/>
          <w:highlight w:val="none"/>
          <w:lang w:eastAsia="zh-CN"/>
        </w:rPr>
      </w:pPr>
      <w:r>
        <w:rPr>
          <w:rFonts w:hint="eastAsia" w:ascii="仿宋_GB2312" w:hAnsi="仿宋_GB2312" w:eastAsia="仿宋_GB2312" w:cs="仿宋_GB2312"/>
          <w:color w:val="auto"/>
          <w:spacing w:val="0"/>
          <w:position w:val="0"/>
          <w:sz w:val="24"/>
          <w:szCs w:val="24"/>
          <w:highlight w:val="none"/>
          <w:lang w:val="en-US" w:eastAsia="zh-CN"/>
        </w:rPr>
        <w:t>2.9.2、</w:t>
      </w:r>
      <w:r>
        <w:rPr>
          <w:rFonts w:hint="eastAsia" w:ascii="仿宋_GB2312" w:hAnsi="仿宋_GB2312" w:eastAsia="仿宋_GB2312" w:cs="仿宋_GB2312"/>
          <w:color w:val="auto"/>
          <w:spacing w:val="0"/>
          <w:position w:val="0"/>
          <w:sz w:val="24"/>
          <w:szCs w:val="24"/>
          <w:highlight w:val="none"/>
          <w:lang w:eastAsia="zh-CN"/>
        </w:rPr>
        <w:t>制定巡查路线，按照指定时间和路线执行，加强重点区域、重点部位及装修区域的巡查。</w:t>
      </w:r>
    </w:p>
    <w:p w14:paraId="667F999C">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outlineLvl w:val="9"/>
        <w:rPr>
          <w:rFonts w:hint="eastAsia" w:ascii="仿宋_GB2312" w:hAnsi="仿宋_GB2312" w:eastAsia="仿宋_GB2312" w:cs="仿宋_GB2312"/>
          <w:color w:val="auto"/>
          <w:spacing w:val="0"/>
          <w:position w:val="0"/>
          <w:sz w:val="24"/>
          <w:szCs w:val="24"/>
          <w:highlight w:val="none"/>
          <w:lang w:eastAsia="zh-CN"/>
        </w:rPr>
      </w:pPr>
      <w:r>
        <w:rPr>
          <w:rFonts w:hint="eastAsia" w:ascii="仿宋_GB2312" w:hAnsi="仿宋_GB2312" w:eastAsia="仿宋_GB2312" w:cs="仿宋_GB2312"/>
          <w:color w:val="auto"/>
          <w:spacing w:val="0"/>
          <w:position w:val="0"/>
          <w:sz w:val="24"/>
          <w:szCs w:val="24"/>
          <w:highlight w:val="none"/>
          <w:lang w:val="en-US" w:eastAsia="zh-CN"/>
        </w:rPr>
        <w:t>2.9.3、</w:t>
      </w:r>
      <w:r>
        <w:rPr>
          <w:rFonts w:hint="eastAsia" w:ascii="仿宋_GB2312" w:hAnsi="仿宋_GB2312" w:eastAsia="仿宋_GB2312" w:cs="仿宋_GB2312"/>
          <w:color w:val="auto"/>
          <w:spacing w:val="0"/>
          <w:position w:val="0"/>
          <w:sz w:val="24"/>
          <w:szCs w:val="24"/>
          <w:highlight w:val="none"/>
          <w:lang w:eastAsia="zh-CN"/>
        </w:rPr>
        <w:t>巡查期间保持通信设施设备畅通，遇到异常情况立即上报并在现场采取相应措施。</w:t>
      </w:r>
    </w:p>
    <w:p w14:paraId="66BE3ECD">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rPr>
          <w:rFonts w:hint="eastAsia" w:ascii="仿宋_GB2312" w:hAnsi="仿宋_GB2312" w:eastAsia="仿宋_GB2312" w:cs="仿宋_GB2312"/>
          <w:b/>
          <w:bCs/>
          <w:color w:val="auto"/>
          <w:spacing w:val="0"/>
          <w:position w:val="0"/>
          <w:sz w:val="24"/>
          <w:szCs w:val="24"/>
          <w:highlight w:val="none"/>
        </w:rPr>
      </w:pPr>
      <w:r>
        <w:rPr>
          <w:rFonts w:hint="eastAsia" w:ascii="仿宋_GB2312" w:hAnsi="仿宋_GB2312" w:eastAsia="仿宋_GB2312" w:cs="仿宋_GB2312"/>
          <w:b/>
          <w:bCs/>
          <w:color w:val="auto"/>
          <w:spacing w:val="0"/>
          <w:position w:val="0"/>
          <w:sz w:val="24"/>
          <w:szCs w:val="24"/>
          <w:highlight w:val="none"/>
          <w:lang w:val="en-US" w:eastAsia="zh-CN"/>
        </w:rPr>
        <w:t>3.0、监控值守</w:t>
      </w:r>
      <w:r>
        <w:rPr>
          <w:rFonts w:hint="eastAsia" w:ascii="仿宋_GB2312" w:hAnsi="仿宋_GB2312" w:eastAsia="仿宋_GB2312" w:cs="仿宋_GB2312"/>
          <w:b/>
          <w:bCs/>
          <w:color w:val="auto"/>
          <w:spacing w:val="0"/>
          <w:position w:val="0"/>
          <w:sz w:val="24"/>
          <w:szCs w:val="24"/>
          <w:highlight w:val="none"/>
        </w:rPr>
        <w:t>：</w:t>
      </w:r>
    </w:p>
    <w:p w14:paraId="2FB3675B">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3.0.1、监控人员必须具有高度的工作责任心，认真负责完成好学校赋予的安全监控任务，及时掌握各种监控信息，对监控过程中发现的情况及时进行处理和上报。</w:t>
      </w:r>
    </w:p>
    <w:p w14:paraId="6BEB7C5C">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3.0.2、值班人员必须严格按照规定时间上下班，确保24小时有人。</w:t>
      </w:r>
    </w:p>
    <w:p w14:paraId="180DCF42">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3.0.3、对监控到的盗窃作案嫌疑人，立即报保卫处，及时抓获盗窃分子，确保校园的治安稳定。</w:t>
      </w:r>
    </w:p>
    <w:p w14:paraId="63022AD6">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3.0.4、每天对监控的情况进行登记，并对值班登记本保留存档。</w:t>
      </w:r>
    </w:p>
    <w:p w14:paraId="798D616E">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3.0.5、监控人员爱护和管理好监控室的各项装配和设施，严格操作规程，确保监控系统的正常运作。</w:t>
      </w:r>
    </w:p>
    <w:p w14:paraId="2BFCFC37">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3.0.6、无关人员未经许可不准进入监控室。师生员工和外来人员需到监控室查询监控录像，必须经保卫处签字同意方可查询监控。禁止查询监控情况的人员拍照或拷贝监控录像。</w:t>
      </w:r>
    </w:p>
    <w:p w14:paraId="1810F3C7">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3.0.7、不准在监控室聊天、玩耍，不准随意摆弄机器设备，保持室内的清洁卫生。</w:t>
      </w:r>
    </w:p>
    <w:p w14:paraId="49F749F9">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3.0.8、必须保守秘密，不得在监控室以外的场所议论有关监控录像的内容。</w:t>
      </w:r>
    </w:p>
    <w:p w14:paraId="6F2B8EF2">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3.0.9、监控人员每天对监控录像进行翻看，发现有价值案件线索及时另存入U盘保留，并作好标记，为业务部门破案提供有效线索。</w:t>
      </w:r>
    </w:p>
    <w:p w14:paraId="7E38B6BA">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3.0.10、监控人员对校园的打架、斗殴及盗窃、交通事故、火灾等录像进行另存入U盘存档保留，并做好标记。</w:t>
      </w:r>
    </w:p>
    <w:p w14:paraId="2F4C7419">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3.0.11、监控设备系统发生故障时，做好登记，应及时报保卫处。</w:t>
      </w:r>
      <w:r>
        <w:rPr>
          <w:rFonts w:hint="eastAsia" w:ascii="仿宋_GB2312" w:hAnsi="仿宋_GB2312" w:eastAsia="仿宋_GB2312" w:cs="仿宋_GB2312"/>
          <w:color w:val="auto"/>
          <w:spacing w:val="0"/>
          <w:position w:val="0"/>
          <w:sz w:val="24"/>
          <w:szCs w:val="24"/>
          <w:highlight w:val="none"/>
          <w:lang w:val="en-US" w:eastAsia="zh-CN"/>
        </w:rPr>
        <w:br w:type="textWrapping"/>
      </w:r>
      <w:r>
        <w:rPr>
          <w:rFonts w:hint="eastAsia" w:ascii="仿宋_GB2312" w:hAnsi="仿宋_GB2312" w:eastAsia="仿宋_GB2312" w:cs="仿宋_GB2312"/>
          <w:color w:val="auto"/>
          <w:spacing w:val="0"/>
          <w:position w:val="0"/>
          <w:sz w:val="24"/>
          <w:szCs w:val="24"/>
          <w:highlight w:val="none"/>
          <w:lang w:val="en-US" w:eastAsia="zh-CN"/>
        </w:rPr>
        <w:t xml:space="preserve">    3.0.12、对一般的设备故障，能自己解决就自己解决，不能解决的报请保卫处。</w:t>
      </w:r>
    </w:p>
    <w:p w14:paraId="185CA1D5">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3.0.13、保持设备的清洁卫生，坚持每月的系统的维护，确保机器设备的正常运作。</w:t>
      </w:r>
    </w:p>
    <w:p w14:paraId="5EC810CD">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rPr>
          <w:rFonts w:hint="eastAsia" w:ascii="仿宋_GB2312" w:hAnsi="仿宋_GB2312" w:eastAsia="仿宋_GB2312" w:cs="仿宋_GB2312"/>
          <w:b/>
          <w:bCs/>
          <w:color w:val="auto"/>
          <w:spacing w:val="0"/>
          <w:position w:val="0"/>
          <w:sz w:val="24"/>
          <w:szCs w:val="24"/>
          <w:highlight w:val="none"/>
          <w:lang w:val="en-US" w:eastAsia="zh-CN"/>
        </w:rPr>
      </w:pPr>
      <w:r>
        <w:rPr>
          <w:rFonts w:hint="eastAsia" w:ascii="仿宋_GB2312" w:hAnsi="仿宋_GB2312" w:eastAsia="仿宋_GB2312" w:cs="仿宋_GB2312"/>
          <w:b/>
          <w:bCs/>
          <w:color w:val="auto"/>
          <w:spacing w:val="0"/>
          <w:position w:val="0"/>
          <w:sz w:val="24"/>
          <w:szCs w:val="24"/>
          <w:highlight w:val="none"/>
          <w:lang w:val="en-US" w:eastAsia="zh-CN"/>
        </w:rPr>
        <w:t>3.1、消防安全：</w:t>
      </w:r>
    </w:p>
    <w:p w14:paraId="042DFE6A">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3.1.1、建立消防安全责任制，确定各级消防安全责任人及其职责。</w:t>
      </w:r>
    </w:p>
    <w:p w14:paraId="1CEEC881">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3.1.2、有切实可行的消防安全管理制度、培训制度、检查制度和措施以及应急预案。</w:t>
      </w:r>
    </w:p>
    <w:p w14:paraId="49F4B0AD">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3.1.3、消火栓、应急照明、应急物资、消防及人员逃生通道、消防车通道可随时正常使用。</w:t>
      </w:r>
    </w:p>
    <w:p w14:paraId="69F19B14">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3.1.4、定期组织消防安全宣传，每半年至少开展1次消防演练。</w:t>
      </w:r>
    </w:p>
    <w:p w14:paraId="1896F8AF">
      <w:pPr>
        <w:keepNext w:val="0"/>
        <w:keepLines w:val="0"/>
        <w:pageBreakBefore w:val="0"/>
        <w:kinsoku/>
        <w:wordWrap/>
        <w:overflowPunct/>
        <w:topLinePunct w:val="0"/>
        <w:bidi w:val="0"/>
        <w:adjustRightInd/>
        <w:snapToGrid/>
        <w:spacing w:line="576" w:lineRule="exact"/>
        <w:ind w:left="0" w:leftChars="0" w:right="0" w:firstLine="482" w:firstLineChars="200"/>
        <w:jc w:val="both"/>
        <w:textAlignment w:val="auto"/>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pPr>
      <w:r>
        <w:rPr>
          <w:rFonts w:hint="eastAsia" w:ascii="仿宋_GB2312" w:hAnsi="仿宋_GB2312" w:eastAsia="仿宋_GB2312" w:cs="仿宋_GB2312"/>
          <w:b/>
          <w:bCs/>
          <w:snapToGrid w:val="0"/>
          <w:color w:val="auto"/>
          <w:spacing w:val="0"/>
          <w:kern w:val="0"/>
          <w:position w:val="0"/>
          <w:sz w:val="24"/>
          <w:szCs w:val="24"/>
          <w:highlight w:val="none"/>
          <w:lang w:val="en-US" w:eastAsia="zh-CN" w:bidi="ar-SA"/>
        </w:rPr>
        <w:t>3.2、</w:t>
      </w:r>
      <w:r>
        <w:rPr>
          <w:rFonts w:hint="eastAsia" w:ascii="仿宋_GB2312" w:hAnsi="仿宋_GB2312" w:eastAsia="仿宋_GB2312" w:cs="仿宋_GB2312"/>
          <w:b/>
          <w:bCs/>
          <w:snapToGrid w:val="0"/>
          <w:color w:val="auto"/>
          <w:spacing w:val="0"/>
          <w:kern w:val="0"/>
          <w:position w:val="0"/>
          <w:sz w:val="24"/>
          <w:szCs w:val="24"/>
          <w:highlight w:val="none"/>
          <w:lang w:val="en-US" w:eastAsia="en-US" w:bidi="ar-SA"/>
        </w:rPr>
        <w:t>车辆停放管理</w:t>
      </w:r>
    </w:p>
    <w:p w14:paraId="13530666">
      <w:pPr>
        <w:keepNext w:val="0"/>
        <w:keepLines w:val="0"/>
        <w:pageBreakBefore w:val="0"/>
        <w:numPr>
          <w:ilvl w:val="0"/>
          <w:numId w:val="0"/>
        </w:numPr>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eastAsia="zh-CN"/>
        </w:rPr>
      </w:pPr>
      <w:r>
        <w:rPr>
          <w:rFonts w:hint="eastAsia" w:ascii="仿宋_GB2312" w:hAnsi="仿宋_GB2312" w:eastAsia="仿宋_GB2312" w:cs="仿宋_GB2312"/>
          <w:color w:val="auto"/>
          <w:spacing w:val="0"/>
          <w:kern w:val="2"/>
          <w:position w:val="0"/>
          <w:sz w:val="24"/>
          <w:szCs w:val="24"/>
          <w:highlight w:val="none"/>
          <w:lang w:val="en-US" w:eastAsia="zh-CN" w:bidi="ar-SA"/>
        </w:rPr>
        <w:t>3.2.1、</w:t>
      </w:r>
      <w:r>
        <w:rPr>
          <w:rFonts w:hint="eastAsia" w:ascii="仿宋_GB2312" w:hAnsi="仿宋_GB2312" w:eastAsia="仿宋_GB2312" w:cs="仿宋_GB2312"/>
          <w:color w:val="auto"/>
          <w:spacing w:val="0"/>
          <w:position w:val="0"/>
          <w:sz w:val="24"/>
          <w:szCs w:val="24"/>
          <w:highlight w:val="none"/>
        </w:rPr>
        <w:t>维护</w:t>
      </w:r>
      <w:r>
        <w:rPr>
          <w:rFonts w:hint="eastAsia" w:ascii="仿宋_GB2312" w:hAnsi="仿宋_GB2312" w:eastAsia="仿宋_GB2312" w:cs="仿宋_GB2312"/>
          <w:color w:val="auto"/>
          <w:spacing w:val="0"/>
          <w:position w:val="0"/>
          <w:sz w:val="24"/>
          <w:szCs w:val="24"/>
          <w:highlight w:val="none"/>
          <w:lang w:val="en-US" w:eastAsia="zh-CN"/>
        </w:rPr>
        <w:t>校</w:t>
      </w:r>
      <w:r>
        <w:rPr>
          <w:rFonts w:hint="eastAsia" w:ascii="仿宋_GB2312" w:hAnsi="仿宋_GB2312" w:eastAsia="仿宋_GB2312" w:cs="仿宋_GB2312"/>
          <w:color w:val="auto"/>
          <w:spacing w:val="0"/>
          <w:position w:val="0"/>
          <w:sz w:val="24"/>
          <w:szCs w:val="24"/>
          <w:highlight w:val="none"/>
        </w:rPr>
        <w:t>区内的交通秩序。车辆行驶路线设置合理、规范，导向标志完整、清晰</w:t>
      </w:r>
      <w:r>
        <w:rPr>
          <w:rFonts w:hint="eastAsia" w:ascii="仿宋_GB2312" w:hAnsi="仿宋_GB2312" w:eastAsia="仿宋_GB2312" w:cs="仿宋_GB2312"/>
          <w:color w:val="auto"/>
          <w:spacing w:val="0"/>
          <w:position w:val="0"/>
          <w:sz w:val="24"/>
          <w:szCs w:val="24"/>
          <w:highlight w:val="none"/>
          <w:lang w:eastAsia="zh-CN"/>
        </w:rPr>
        <w:t>。</w:t>
      </w:r>
    </w:p>
    <w:p w14:paraId="5933F9C6">
      <w:pPr>
        <w:keepNext w:val="0"/>
        <w:keepLines w:val="0"/>
        <w:pageBreakBefore w:val="0"/>
        <w:numPr>
          <w:ilvl w:val="0"/>
          <w:numId w:val="0"/>
        </w:numPr>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eastAsia="zh-CN"/>
        </w:rPr>
      </w:pPr>
      <w:r>
        <w:rPr>
          <w:rFonts w:hint="eastAsia" w:ascii="仿宋_GB2312" w:hAnsi="仿宋_GB2312" w:eastAsia="仿宋_GB2312" w:cs="仿宋_GB2312"/>
          <w:color w:val="auto"/>
          <w:spacing w:val="0"/>
          <w:position w:val="0"/>
          <w:sz w:val="24"/>
          <w:szCs w:val="24"/>
          <w:highlight w:val="none"/>
          <w:lang w:val="en-US" w:eastAsia="zh-CN"/>
        </w:rPr>
        <w:t>3.2.2、</w:t>
      </w:r>
      <w:r>
        <w:rPr>
          <w:rFonts w:hint="eastAsia" w:ascii="仿宋_GB2312" w:hAnsi="仿宋_GB2312" w:eastAsia="仿宋_GB2312" w:cs="仿宋_GB2312"/>
          <w:color w:val="auto"/>
          <w:spacing w:val="0"/>
          <w:position w:val="0"/>
          <w:sz w:val="24"/>
          <w:szCs w:val="24"/>
          <w:highlight w:val="none"/>
          <w:lang w:eastAsia="zh-CN"/>
        </w:rPr>
        <w:t>合理规划车辆停放区域，张贴车辆引导标识，对车辆及停放区域实行规范管理。</w:t>
      </w:r>
    </w:p>
    <w:p w14:paraId="483F2C54">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3.2.3、</w:t>
      </w:r>
      <w:r>
        <w:rPr>
          <w:rFonts w:hint="eastAsia" w:ascii="仿宋_GB2312" w:hAnsi="仿宋_GB2312" w:eastAsia="仿宋_GB2312" w:cs="仿宋_GB2312"/>
          <w:color w:val="auto"/>
          <w:spacing w:val="0"/>
          <w:position w:val="0"/>
          <w:sz w:val="24"/>
          <w:szCs w:val="24"/>
          <w:highlight w:val="none"/>
        </w:rPr>
        <w:t>车辆出入进行询问、查看、登记、引导。</w:t>
      </w:r>
    </w:p>
    <w:p w14:paraId="76C9BA48">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3.2.4、</w:t>
      </w:r>
      <w:r>
        <w:rPr>
          <w:rFonts w:hint="eastAsia" w:ascii="仿宋_GB2312" w:hAnsi="仿宋_GB2312" w:eastAsia="仿宋_GB2312" w:cs="仿宋_GB2312"/>
          <w:color w:val="auto"/>
          <w:spacing w:val="0"/>
          <w:position w:val="0"/>
          <w:sz w:val="24"/>
          <w:szCs w:val="24"/>
          <w:highlight w:val="none"/>
        </w:rPr>
        <w:t>内部车辆实行凭证出入登记管理制度</w:t>
      </w:r>
      <w:r>
        <w:rPr>
          <w:rFonts w:hint="eastAsia" w:ascii="仿宋_GB2312" w:hAnsi="仿宋_GB2312" w:eastAsia="仿宋_GB2312" w:cs="仿宋_GB2312"/>
          <w:color w:val="auto"/>
          <w:spacing w:val="0"/>
          <w:position w:val="0"/>
          <w:sz w:val="24"/>
          <w:szCs w:val="24"/>
          <w:highlight w:val="none"/>
          <w:lang w:eastAsia="zh-CN"/>
        </w:rPr>
        <w:t>，</w:t>
      </w:r>
      <w:r>
        <w:rPr>
          <w:rFonts w:hint="eastAsia" w:ascii="仿宋_GB2312" w:hAnsi="仿宋_GB2312" w:eastAsia="仿宋_GB2312" w:cs="仿宋_GB2312"/>
          <w:color w:val="auto"/>
          <w:spacing w:val="0"/>
          <w:position w:val="0"/>
          <w:sz w:val="24"/>
          <w:szCs w:val="24"/>
          <w:highlight w:val="none"/>
        </w:rPr>
        <w:t>非机动车辆停放管理有序。</w:t>
      </w:r>
    </w:p>
    <w:p w14:paraId="3349943A">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3.2.5、</w:t>
      </w:r>
      <w:r>
        <w:rPr>
          <w:rFonts w:hint="eastAsia" w:ascii="仿宋_GB2312" w:hAnsi="仿宋_GB2312" w:eastAsia="仿宋_GB2312" w:cs="仿宋_GB2312"/>
          <w:color w:val="auto"/>
          <w:spacing w:val="0"/>
          <w:position w:val="0"/>
          <w:sz w:val="24"/>
          <w:szCs w:val="24"/>
          <w:highlight w:val="none"/>
        </w:rPr>
        <w:t>严禁在办公楼的公用走道、楼梯间、安全出口处等公共区域停放车辆或充电。</w:t>
      </w:r>
    </w:p>
    <w:p w14:paraId="119F89EC">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3.2.6、</w:t>
      </w:r>
      <w:r>
        <w:rPr>
          <w:rFonts w:hint="eastAsia" w:ascii="仿宋_GB2312" w:hAnsi="仿宋_GB2312" w:eastAsia="仿宋_GB2312" w:cs="仿宋_GB2312"/>
          <w:color w:val="auto"/>
          <w:spacing w:val="0"/>
          <w:position w:val="0"/>
          <w:sz w:val="24"/>
          <w:szCs w:val="24"/>
          <w:highlight w:val="none"/>
        </w:rPr>
        <w:t>外来车辆</w:t>
      </w:r>
      <w:r>
        <w:rPr>
          <w:rFonts w:hint="eastAsia" w:ascii="仿宋_GB2312" w:hAnsi="仿宋_GB2312" w:eastAsia="仿宋_GB2312" w:cs="仿宋_GB2312"/>
          <w:color w:val="auto"/>
          <w:spacing w:val="0"/>
          <w:position w:val="0"/>
          <w:sz w:val="24"/>
          <w:szCs w:val="24"/>
          <w:highlight w:val="none"/>
          <w:lang w:val="en-US" w:eastAsia="zh-CN"/>
        </w:rPr>
        <w:t>禁止入内，保障校内秩序安全</w:t>
      </w:r>
      <w:r>
        <w:rPr>
          <w:rFonts w:hint="eastAsia" w:ascii="仿宋_GB2312" w:hAnsi="仿宋_GB2312" w:eastAsia="仿宋_GB2312" w:cs="仿宋_GB2312"/>
          <w:color w:val="auto"/>
          <w:spacing w:val="0"/>
          <w:position w:val="0"/>
          <w:sz w:val="24"/>
          <w:szCs w:val="24"/>
          <w:highlight w:val="none"/>
        </w:rPr>
        <w:t>。</w:t>
      </w:r>
    </w:p>
    <w:p w14:paraId="27F3D465">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rPr>
      </w:pPr>
      <w:r>
        <w:rPr>
          <w:rFonts w:hint="eastAsia" w:ascii="仿宋_GB2312" w:hAnsi="仿宋_GB2312" w:eastAsia="仿宋_GB2312" w:cs="仿宋_GB2312"/>
          <w:color w:val="auto"/>
          <w:spacing w:val="0"/>
          <w:position w:val="0"/>
          <w:sz w:val="24"/>
          <w:szCs w:val="24"/>
          <w:highlight w:val="none"/>
          <w:lang w:val="en-US" w:eastAsia="zh-CN"/>
        </w:rPr>
        <w:t>3.2.7、</w:t>
      </w:r>
      <w:r>
        <w:rPr>
          <w:rFonts w:hint="eastAsia" w:ascii="仿宋_GB2312" w:hAnsi="仿宋_GB2312" w:eastAsia="仿宋_GB2312" w:cs="仿宋_GB2312"/>
          <w:color w:val="auto"/>
          <w:spacing w:val="0"/>
          <w:position w:val="0"/>
          <w:sz w:val="24"/>
          <w:szCs w:val="24"/>
          <w:highlight w:val="none"/>
        </w:rPr>
        <w:t>对停车场进行巡逻巡查。发现车辆异常情况及时通知车主，并做好登记；发生交通事故、自然灾害等意外事故时及时</w:t>
      </w:r>
      <w:r>
        <w:rPr>
          <w:rFonts w:hint="eastAsia" w:ascii="仿宋_GB2312" w:hAnsi="仿宋_GB2312" w:eastAsia="仿宋_GB2312" w:cs="仿宋_GB2312"/>
          <w:color w:val="auto"/>
          <w:spacing w:val="0"/>
          <w:position w:val="0"/>
          <w:sz w:val="24"/>
          <w:szCs w:val="24"/>
          <w:highlight w:val="none"/>
          <w:lang w:val="en-US" w:eastAsia="zh-CN"/>
        </w:rPr>
        <w:t>赶</w:t>
      </w:r>
      <w:r>
        <w:rPr>
          <w:rFonts w:hint="eastAsia" w:ascii="仿宋_GB2312" w:hAnsi="仿宋_GB2312" w:eastAsia="仿宋_GB2312" w:cs="仿宋_GB2312"/>
          <w:color w:val="auto"/>
          <w:spacing w:val="0"/>
          <w:position w:val="0"/>
          <w:sz w:val="24"/>
          <w:szCs w:val="24"/>
          <w:highlight w:val="none"/>
        </w:rPr>
        <w:t>赴现场疏导和协助处理，响应时间不超过3分钟。</w:t>
      </w:r>
    </w:p>
    <w:p w14:paraId="37DF4A2F">
      <w:pPr>
        <w:pStyle w:val="9"/>
        <w:keepNext w:val="0"/>
        <w:keepLines w:val="0"/>
        <w:pageBreakBefore w:val="0"/>
        <w:kinsoku/>
        <w:wordWrap/>
        <w:overflowPunct/>
        <w:topLinePunct w:val="0"/>
        <w:bidi w:val="0"/>
        <w:adjustRightInd/>
        <w:snapToGrid/>
        <w:spacing w:after="0" w:afterLines="0" w:line="576" w:lineRule="exact"/>
        <w:ind w:left="0" w:leftChars="0" w:right="0" w:firstLine="482" w:firstLineChars="200"/>
        <w:jc w:val="both"/>
        <w:textAlignment w:val="auto"/>
        <w:rPr>
          <w:rFonts w:hint="eastAsia" w:ascii="仿宋_GB2312" w:hAnsi="仿宋_GB2312" w:eastAsia="仿宋_GB2312" w:cs="仿宋_GB2312"/>
          <w:b/>
          <w:bCs/>
          <w:color w:val="auto"/>
          <w:spacing w:val="0"/>
          <w:position w:val="0"/>
          <w:sz w:val="24"/>
          <w:szCs w:val="24"/>
          <w:highlight w:val="none"/>
          <w:lang w:val="en-US" w:eastAsia="zh-CN"/>
        </w:rPr>
      </w:pPr>
      <w:r>
        <w:rPr>
          <w:rFonts w:hint="eastAsia" w:ascii="仿宋_GB2312" w:hAnsi="仿宋_GB2312" w:eastAsia="仿宋_GB2312" w:cs="仿宋_GB2312"/>
          <w:b/>
          <w:bCs/>
          <w:color w:val="auto"/>
          <w:spacing w:val="0"/>
          <w:position w:val="0"/>
          <w:sz w:val="24"/>
          <w:szCs w:val="24"/>
          <w:highlight w:val="none"/>
          <w:lang w:val="en-US" w:eastAsia="zh-CN"/>
        </w:rPr>
        <w:t>3.3、管理人员</w:t>
      </w:r>
    </w:p>
    <w:p w14:paraId="54311169">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3.3.1、工作认真负责、勤快，及时发现问题，能在第一时间内调动人员处理到位，能胜任本职工作，及时和学校相关部门进行工作对接。</w:t>
      </w:r>
    </w:p>
    <w:p w14:paraId="3CECEFDF">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3.3.2、对接学校安全分管校长及安全责任部门，完成学校要求的各项与安保有关的工作。</w:t>
      </w:r>
    </w:p>
    <w:p w14:paraId="37C9168B">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pacing w:val="0"/>
          <w:position w:val="0"/>
          <w:sz w:val="24"/>
          <w:szCs w:val="24"/>
          <w:highlight w:val="none"/>
          <w:lang w:val="en-US" w:eastAsia="zh-CN"/>
        </w:rPr>
        <w:t>3.3.3、有较高的政治思想素质和组织管理能力，责任心强，服务态度好，工作经验丰富，人员必须相对稳定。</w:t>
      </w:r>
    </w:p>
    <w:p w14:paraId="7CAA1676">
      <w:pPr>
        <w:pStyle w:val="5"/>
        <w:keepNext w:val="0"/>
        <w:keepLines w:val="0"/>
        <w:pageBreakBefore w:val="0"/>
        <w:kinsoku/>
        <w:wordWrap/>
        <w:overflowPunct/>
        <w:topLinePunct w:val="0"/>
        <w:bidi w:val="0"/>
        <w:adjustRightInd/>
        <w:snapToGrid/>
        <w:spacing w:after="0" w:afterLines="0" w:line="576" w:lineRule="exact"/>
        <w:ind w:firstLine="482" w:firstLineChars="200"/>
        <w:outlineLvl w:val="2"/>
        <w:rPr>
          <w:rFonts w:hint="eastAsia" w:ascii="仿宋_GB2312" w:hAnsi="仿宋_GB2312" w:eastAsia="仿宋_GB2312" w:cs="仿宋_GB2312"/>
          <w:b/>
          <w:bCs/>
          <w:color w:val="000000"/>
          <w:sz w:val="24"/>
          <w:szCs w:val="24"/>
          <w:lang w:val="en-US" w:eastAsia="zh-CN"/>
        </w:rPr>
      </w:pPr>
      <w:bookmarkStart w:id="0" w:name="_Toc12362"/>
      <w:bookmarkStart w:id="1" w:name="_Toc3763"/>
      <w:bookmarkStart w:id="2" w:name="_Toc19657"/>
      <w:r>
        <w:rPr>
          <w:rFonts w:hint="eastAsia" w:ascii="仿宋_GB2312" w:hAnsi="仿宋_GB2312" w:eastAsia="仿宋_GB2312" w:cs="仿宋_GB2312"/>
          <w:b/>
          <w:bCs/>
          <w:color w:val="000000"/>
          <w:sz w:val="24"/>
          <w:szCs w:val="24"/>
          <w:lang w:val="en-US" w:eastAsia="zh-CN"/>
        </w:rPr>
        <w:t>二、其他要求</w:t>
      </w:r>
      <w:bookmarkEnd w:id="0"/>
      <w:bookmarkEnd w:id="1"/>
      <w:bookmarkEnd w:id="2"/>
    </w:p>
    <w:p w14:paraId="32308612">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1、安保服务费用由采购人（上饶卫生健康职业学院（上饶卫生学校），下同）经考评后按季度发放。中标人（安保服务公司，下同）领取费用时必须出具税务机关开出的正式发票。采购人按季度付清中标人安保服务费用（费用直接汇入中标人公司），不再负责中标人因此产生的债务或其他经济问题；</w:t>
      </w:r>
    </w:p>
    <w:p w14:paraId="5A39223E">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中标人不能阻止无关人员进入校园的，因无关外来人员进入校园致使采购人教职员工工作或学生学习受到影响的；因无关外来人员进入校园致使采购人教职员工或学生受到人身伤害的，由公安或医疗等部门出具鉴定报告或证明，由中标人进行赔付。</w:t>
      </w:r>
    </w:p>
    <w:p w14:paraId="48EFB6B9">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3、中标人所聘用的所有人员的养老保险、医疗保险、工伤保险、失业保险等社会保险均由中标人负责，与采购人无关。如因用工问题引起的劳动纠纷问题由中标人自行解决；</w:t>
      </w:r>
    </w:p>
    <w:p w14:paraId="24841D0C">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4、中标人要按时足额发放所有人员工资。</w:t>
      </w:r>
    </w:p>
    <w:p w14:paraId="4BFDF9D4">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5、中标人安排到采购人工作的安保人员（男性），开始上岗时男性年龄均不得超过50周岁。</w:t>
      </w:r>
    </w:p>
    <w:p w14:paraId="1548345E">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6．中标人安排到采购人工作的安保人员，（1）必须服从相关领导的工作安排，遵守学校的相关纪律要求，品德高尚，作风正派，关心热爱学生，身体健康，吃苦耐劳；（2）工作人员在遇到有上级检查时能从事午间、夜间工作。</w:t>
      </w:r>
    </w:p>
    <w:p w14:paraId="321DB576">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bookmarkStart w:id="3" w:name="_Toc5810"/>
      <w:bookmarkStart w:id="4" w:name="_Toc7219"/>
      <w:bookmarkStart w:id="5" w:name="_Toc24910"/>
      <w:r>
        <w:rPr>
          <w:rFonts w:hint="eastAsia" w:ascii="仿宋_GB2312" w:hAnsi="仿宋_GB2312" w:eastAsia="仿宋_GB2312" w:cs="仿宋_GB2312"/>
          <w:color w:val="auto"/>
          <w:spacing w:val="0"/>
          <w:position w:val="0"/>
          <w:sz w:val="24"/>
          <w:szCs w:val="24"/>
          <w:highlight w:val="none"/>
          <w:lang w:val="en-US" w:eastAsia="zh-CN"/>
        </w:rPr>
        <w:t>7、特别说明：</w:t>
      </w:r>
      <w:bookmarkEnd w:id="3"/>
      <w:bookmarkEnd w:id="4"/>
      <w:bookmarkEnd w:id="5"/>
    </w:p>
    <w:p w14:paraId="13F4EDE5">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7.1、中标人需要确保各岗位24小时有人在岗；</w:t>
      </w:r>
    </w:p>
    <w:p w14:paraId="0648CBA1">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7.2、学校节假日期间，安保人员正常上班；</w:t>
      </w:r>
    </w:p>
    <w:p w14:paraId="1D429350">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7.3、如遇学校各类检查，中标人必须按时按照采购人要求无条件做好相关工作，临时调动人员做好安保范围内的应急工作，不得拖延或敷衍。</w:t>
      </w:r>
    </w:p>
    <w:p w14:paraId="7E34EC88">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8、承担风险</w:t>
      </w:r>
    </w:p>
    <w:p w14:paraId="16DFBDCE">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若在保安服务范围内发生重大财务损失，学校可以要求中标人承担一定比例的赔偿责任。</w:t>
      </w:r>
    </w:p>
    <w:p w14:paraId="0072E721">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bookmarkStart w:id="6" w:name="_Toc11104"/>
      <w:bookmarkStart w:id="7" w:name="_Toc16340"/>
      <w:bookmarkStart w:id="8" w:name="_Toc24390"/>
      <w:r>
        <w:rPr>
          <w:rFonts w:hint="eastAsia" w:ascii="仿宋_GB2312" w:hAnsi="仿宋_GB2312" w:eastAsia="仿宋_GB2312" w:cs="仿宋_GB2312"/>
          <w:color w:val="auto"/>
          <w:spacing w:val="0"/>
          <w:position w:val="0"/>
          <w:sz w:val="24"/>
          <w:szCs w:val="24"/>
          <w:highlight w:val="none"/>
          <w:lang w:val="en-US" w:eastAsia="zh-CN"/>
        </w:rPr>
        <w:t>三、考核等级及奖惩措施</w:t>
      </w:r>
      <w:bookmarkEnd w:id="6"/>
      <w:bookmarkEnd w:id="7"/>
      <w:bookmarkEnd w:id="8"/>
    </w:p>
    <w:p w14:paraId="29C2BEF9">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bookmarkStart w:id="9" w:name="_Toc7430"/>
      <w:bookmarkStart w:id="10" w:name="_Toc25917"/>
      <w:bookmarkStart w:id="11" w:name="_Toc26316"/>
      <w:r>
        <w:rPr>
          <w:rFonts w:hint="eastAsia" w:ascii="仿宋_GB2312" w:hAnsi="仿宋_GB2312" w:eastAsia="仿宋_GB2312" w:cs="仿宋_GB2312"/>
          <w:color w:val="auto"/>
          <w:spacing w:val="0"/>
          <w:position w:val="0"/>
          <w:sz w:val="24"/>
          <w:szCs w:val="24"/>
          <w:highlight w:val="none"/>
          <w:lang w:val="en-US" w:eastAsia="zh-CN"/>
        </w:rPr>
        <w:t>（一）考核等级（总分100分）</w:t>
      </w:r>
      <w:bookmarkEnd w:id="9"/>
      <w:bookmarkEnd w:id="10"/>
      <w:bookmarkEnd w:id="11"/>
    </w:p>
    <w:p w14:paraId="12C5D640">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1.优秀：考核总分值≥90.0 分；最高分值不超过100分。</w:t>
      </w:r>
    </w:p>
    <w:p w14:paraId="5715CA41">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2.合格：考核总分值 70.0-89.9 分；</w:t>
      </w:r>
    </w:p>
    <w:p w14:paraId="7267B7C2">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3.不合格：考核总分值＜70.0 分。</w:t>
      </w:r>
    </w:p>
    <w:p w14:paraId="1238F622">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bookmarkStart w:id="12" w:name="_Toc5068"/>
      <w:bookmarkStart w:id="13" w:name="_Toc16457"/>
      <w:bookmarkStart w:id="14" w:name="_Toc23433"/>
      <w:r>
        <w:rPr>
          <w:rFonts w:hint="eastAsia" w:ascii="仿宋_GB2312" w:hAnsi="仿宋_GB2312" w:eastAsia="仿宋_GB2312" w:cs="仿宋_GB2312"/>
          <w:color w:val="auto"/>
          <w:spacing w:val="0"/>
          <w:position w:val="0"/>
          <w:sz w:val="24"/>
          <w:szCs w:val="24"/>
          <w:highlight w:val="none"/>
          <w:lang w:val="en-US" w:eastAsia="zh-CN"/>
        </w:rPr>
        <w:t>（二）考核措施</w:t>
      </w:r>
      <w:bookmarkEnd w:id="12"/>
      <w:bookmarkEnd w:id="13"/>
      <w:bookmarkEnd w:id="14"/>
    </w:p>
    <w:p w14:paraId="236EA3D7">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1.按每月进行考核，考核总分值为优秀，全额拨付当月安保服务费；</w:t>
      </w:r>
    </w:p>
    <w:p w14:paraId="60FF18F2">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2.按每月进行考核，考核总分值为合格，以90分为基准，每低于基准1分的扣除当月安保服务费的0.5%；</w:t>
      </w:r>
    </w:p>
    <w:p w14:paraId="4C2F6FE8">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3.按每月进行考核，考核总分值为不合格，以90分为基准，每低于基准1分的扣除当月安保服务费的1%，且予以通报批评，责令限期半个月整改，中标人须及时向采购人提交整改措施报告，由采购人监督实施，若在限期内无明显改变，采购人上报监管单位处理，直至终止此项服务;</w:t>
      </w:r>
    </w:p>
    <w:p w14:paraId="0C7BA079">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color w:val="auto"/>
          <w:spacing w:val="0"/>
          <w:position w:val="0"/>
          <w:sz w:val="24"/>
          <w:szCs w:val="24"/>
          <w:highlight w:val="none"/>
          <w:lang w:val="en-US" w:eastAsia="zh-CN"/>
        </w:rPr>
      </w:pPr>
      <w:r>
        <w:rPr>
          <w:rFonts w:hint="eastAsia" w:ascii="仿宋_GB2312" w:hAnsi="仿宋_GB2312" w:eastAsia="仿宋_GB2312" w:cs="仿宋_GB2312"/>
          <w:color w:val="auto"/>
          <w:spacing w:val="0"/>
          <w:position w:val="0"/>
          <w:sz w:val="24"/>
          <w:szCs w:val="24"/>
          <w:highlight w:val="none"/>
          <w:lang w:val="en-US" w:eastAsia="zh-CN"/>
        </w:rPr>
        <w:t>4.如对安保人员考核不达标的，采购人有权提出更换安保人员，中标人应及时更换。</w:t>
      </w:r>
    </w:p>
    <w:p w14:paraId="764D1CF4">
      <w:pPr>
        <w:keepNext w:val="0"/>
        <w:keepLines w:val="0"/>
        <w:pageBreakBefore w:val="0"/>
        <w:kinsoku/>
        <w:wordWrap/>
        <w:overflowPunct/>
        <w:topLinePunct w:val="0"/>
        <w:bidi w:val="0"/>
        <w:adjustRightInd/>
        <w:snapToGrid/>
        <w:spacing w:line="576" w:lineRule="exact"/>
        <w:ind w:left="0" w:leftChars="0" w:right="0" w:firstLine="480" w:firstLineChars="200"/>
        <w:jc w:val="both"/>
        <w:textAlignment w:val="auto"/>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color w:val="auto"/>
          <w:spacing w:val="0"/>
          <w:position w:val="0"/>
          <w:sz w:val="24"/>
          <w:szCs w:val="24"/>
          <w:highlight w:val="none"/>
          <w:lang w:val="en-US" w:eastAsia="zh-CN"/>
        </w:rPr>
        <w:t>5.如连续2个月考核总分值为不合格，除拒付当月安保服务费外，</w:t>
      </w:r>
      <w:r>
        <w:rPr>
          <w:rFonts w:hint="eastAsia" w:ascii="仿宋_GB2312" w:hAnsi="仿宋_GB2312" w:eastAsia="仿宋_GB2312" w:cs="仿宋_GB2312"/>
          <w:b w:val="0"/>
          <w:bCs w:val="0"/>
          <w:color w:val="000000"/>
          <w:sz w:val="24"/>
          <w:szCs w:val="24"/>
          <w:lang w:val="en-US" w:eastAsia="zh-CN"/>
        </w:rPr>
        <w:t>并上报</w:t>
      </w:r>
      <w:r>
        <w:rPr>
          <w:rFonts w:hint="eastAsia" w:ascii="仿宋_GB2312" w:hAnsi="仿宋_GB2312" w:eastAsia="仿宋_GB2312" w:cs="仿宋_GB2312"/>
          <w:b w:val="0"/>
          <w:bCs w:val="0"/>
          <w:color w:val="auto"/>
          <w:sz w:val="24"/>
          <w:szCs w:val="24"/>
          <w:lang w:val="en-US" w:eastAsia="zh-CN"/>
        </w:rPr>
        <w:t>监管</w:t>
      </w:r>
      <w:r>
        <w:rPr>
          <w:rFonts w:hint="eastAsia" w:ascii="仿宋_GB2312" w:hAnsi="仿宋_GB2312" w:eastAsia="仿宋_GB2312" w:cs="仿宋_GB2312"/>
          <w:b w:val="0"/>
          <w:bCs w:val="0"/>
          <w:color w:val="000000"/>
          <w:sz w:val="24"/>
          <w:szCs w:val="24"/>
          <w:lang w:val="en-US" w:eastAsia="zh-CN"/>
        </w:rPr>
        <w:t>单位处理，直至解除合同，另择安保服务单位，后果和损失由中标人负责。</w:t>
      </w:r>
    </w:p>
    <w:p w14:paraId="59CAE385">
      <w:pPr>
        <w:pStyle w:val="5"/>
        <w:keepNext w:val="0"/>
        <w:keepLines w:val="0"/>
        <w:pageBreakBefore w:val="0"/>
        <w:kinsoku/>
        <w:wordWrap/>
        <w:overflowPunct/>
        <w:topLinePunct w:val="0"/>
        <w:bidi w:val="0"/>
        <w:adjustRightInd/>
        <w:snapToGrid/>
        <w:spacing w:after="0" w:afterLines="0" w:line="576" w:lineRule="exact"/>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lang w:val="en-US" w:eastAsia="zh-CN"/>
        </w:rPr>
        <w:t>（三）校园安保服务服务考核表</w:t>
      </w:r>
    </w:p>
    <w:tbl>
      <w:tblPr>
        <w:tblStyle w:val="16"/>
        <w:tblW w:w="87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8"/>
        <w:gridCol w:w="6446"/>
        <w:gridCol w:w="815"/>
        <w:gridCol w:w="710"/>
      </w:tblGrid>
      <w:tr w14:paraId="62CCE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tcBorders>
              <w:top w:val="single" w:color="auto" w:sz="4" w:space="0"/>
              <w:left w:val="single" w:color="auto" w:sz="4" w:space="0"/>
              <w:bottom w:val="single" w:color="auto" w:sz="4" w:space="0"/>
              <w:right w:val="single" w:color="auto" w:sz="4" w:space="0"/>
            </w:tcBorders>
            <w:vAlign w:val="center"/>
          </w:tcPr>
          <w:p w14:paraId="04BD8B77">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考核</w:t>
            </w:r>
          </w:p>
          <w:p w14:paraId="62F5FAB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项目</w:t>
            </w:r>
          </w:p>
        </w:tc>
        <w:tc>
          <w:tcPr>
            <w:tcW w:w="6446" w:type="dxa"/>
            <w:tcBorders>
              <w:top w:val="single" w:color="auto" w:sz="4" w:space="0"/>
              <w:left w:val="single" w:color="auto" w:sz="4" w:space="0"/>
              <w:bottom w:val="single" w:color="auto" w:sz="4" w:space="0"/>
              <w:right w:val="single" w:color="auto" w:sz="4" w:space="0"/>
            </w:tcBorders>
            <w:vAlign w:val="center"/>
          </w:tcPr>
          <w:p w14:paraId="0C9C5484">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考核内容</w:t>
            </w:r>
          </w:p>
        </w:tc>
        <w:tc>
          <w:tcPr>
            <w:tcW w:w="815" w:type="dxa"/>
            <w:tcBorders>
              <w:left w:val="single" w:color="auto" w:sz="4" w:space="0"/>
            </w:tcBorders>
            <w:vAlign w:val="center"/>
          </w:tcPr>
          <w:p w14:paraId="557EFC19">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扣奖分</w:t>
            </w:r>
          </w:p>
          <w:p w14:paraId="5E1FAFE8">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事由</w:t>
            </w:r>
          </w:p>
        </w:tc>
        <w:tc>
          <w:tcPr>
            <w:tcW w:w="710" w:type="dxa"/>
            <w:vAlign w:val="center"/>
          </w:tcPr>
          <w:p w14:paraId="0E6DE15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扣分</w:t>
            </w:r>
          </w:p>
          <w:p w14:paraId="1D9B10F7">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奖分</w:t>
            </w:r>
          </w:p>
        </w:tc>
      </w:tr>
      <w:tr w14:paraId="7FF8B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jc w:val="center"/>
        </w:trPr>
        <w:tc>
          <w:tcPr>
            <w:tcW w:w="768" w:type="dxa"/>
            <w:vMerge w:val="restart"/>
            <w:tcBorders>
              <w:top w:val="single" w:color="auto" w:sz="4" w:space="0"/>
              <w:left w:val="single" w:color="auto" w:sz="4" w:space="0"/>
              <w:right w:val="single" w:color="auto" w:sz="4" w:space="0"/>
            </w:tcBorders>
            <w:vAlign w:val="center"/>
          </w:tcPr>
          <w:p w14:paraId="5336C20B">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工作 态度</w:t>
            </w:r>
          </w:p>
        </w:tc>
        <w:tc>
          <w:tcPr>
            <w:tcW w:w="6446" w:type="dxa"/>
            <w:tcBorders>
              <w:top w:val="single" w:color="auto" w:sz="4" w:space="0"/>
              <w:left w:val="single" w:color="auto" w:sz="4" w:space="0"/>
              <w:bottom w:val="single" w:color="auto" w:sz="4" w:space="0"/>
              <w:right w:val="single" w:color="auto" w:sz="4" w:space="0"/>
            </w:tcBorders>
            <w:vAlign w:val="center"/>
          </w:tcPr>
          <w:p w14:paraId="66B401DB">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1.脱岗5分钟内扣 1 分/次，5-10分钟扣1.2分/次，20分钟以上扣 2 分/次，无故旷工的，扣10分/天，请假按相关制度和规定执行；</w:t>
            </w:r>
          </w:p>
        </w:tc>
        <w:tc>
          <w:tcPr>
            <w:tcW w:w="815" w:type="dxa"/>
            <w:tcBorders>
              <w:left w:val="single" w:color="auto" w:sz="4" w:space="0"/>
            </w:tcBorders>
            <w:vAlign w:val="center"/>
          </w:tcPr>
          <w:p w14:paraId="30F02BB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227EBBE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1D22E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continue"/>
            <w:tcBorders>
              <w:left w:val="single" w:color="auto" w:sz="4" w:space="0"/>
              <w:right w:val="single" w:color="auto" w:sz="4" w:space="0"/>
            </w:tcBorders>
            <w:textDirection w:val="tbRlV"/>
            <w:vAlign w:val="center"/>
          </w:tcPr>
          <w:p w14:paraId="1D84929F">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2DFA9D96">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2.仪表着装不整、工作相关器具(如对讲机、警棍、手电、登记簿)不按规定保管、丢失、损坏的，扣 0.2 分/ 次；</w:t>
            </w:r>
          </w:p>
        </w:tc>
        <w:tc>
          <w:tcPr>
            <w:tcW w:w="815" w:type="dxa"/>
            <w:tcBorders>
              <w:left w:val="single" w:color="auto" w:sz="4" w:space="0"/>
            </w:tcBorders>
            <w:vAlign w:val="center"/>
          </w:tcPr>
          <w:p w14:paraId="58F5E2D1">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5C25BAA4">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2787F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3" w:hRule="atLeast"/>
          <w:jc w:val="center"/>
        </w:trPr>
        <w:tc>
          <w:tcPr>
            <w:tcW w:w="768" w:type="dxa"/>
            <w:vMerge w:val="continue"/>
            <w:tcBorders>
              <w:left w:val="single" w:color="auto" w:sz="4" w:space="0"/>
              <w:right w:val="single" w:color="auto" w:sz="4" w:space="0"/>
            </w:tcBorders>
            <w:textDirection w:val="tbRlV"/>
            <w:vAlign w:val="center"/>
          </w:tcPr>
          <w:p w14:paraId="05D1AB6F">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0FAF0901">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3.上班期间不严格遵守保卫纪律 (如上班闲聊、玩手机、睡觉、喝酒、抽烟、看报、打牌等）对安保处安排的工作推委或未按时完成的、请霸王假、未经允许随意顶换班、不参加保卫科会议等，工作散慢，扣1分/次；</w:t>
            </w:r>
          </w:p>
        </w:tc>
        <w:tc>
          <w:tcPr>
            <w:tcW w:w="815" w:type="dxa"/>
            <w:tcBorders>
              <w:left w:val="single" w:color="auto" w:sz="4" w:space="0"/>
            </w:tcBorders>
            <w:vAlign w:val="center"/>
          </w:tcPr>
          <w:p w14:paraId="3E7A15DF">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19E10694">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4E8D7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jc w:val="center"/>
        </w:trPr>
        <w:tc>
          <w:tcPr>
            <w:tcW w:w="768" w:type="dxa"/>
            <w:vMerge w:val="continue"/>
            <w:tcBorders>
              <w:left w:val="single" w:color="auto" w:sz="4" w:space="0"/>
              <w:bottom w:val="single" w:color="auto" w:sz="4" w:space="0"/>
              <w:right w:val="single" w:color="auto" w:sz="4" w:space="0"/>
            </w:tcBorders>
            <w:textDirection w:val="tbRlV"/>
            <w:vAlign w:val="center"/>
          </w:tcPr>
          <w:p w14:paraId="1B3B0F2D">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322956D8">
            <w:pPr>
              <w:keepNext w:val="0"/>
              <w:keepLines w:val="0"/>
              <w:pageBreakBefore w:val="0"/>
              <w:widowControl/>
              <w:suppressLineNumbers w:val="0"/>
              <w:tabs>
                <w:tab w:val="left" w:pos="6300"/>
              </w:tabs>
              <w:kinsoku/>
              <w:wordWrap/>
              <w:overflowPunct/>
              <w:topLinePunct w:val="0"/>
              <w:bidi w:val="0"/>
              <w:adjustRightInd/>
              <w:snapToGrid/>
              <w:spacing w:line="576" w:lineRule="exact"/>
              <w:ind w:left="216" w:leftChars="103" w:right="134" w:rightChars="64" w:firstLine="0" w:firstLineChars="0"/>
              <w:jc w:val="left"/>
              <w:textAlignment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i w:val="0"/>
                <w:iCs w:val="0"/>
                <w:color w:val="000000"/>
                <w:kern w:val="0"/>
                <w:sz w:val="24"/>
                <w:szCs w:val="24"/>
                <w:u w:val="none"/>
                <w:lang w:val="en-US" w:eastAsia="zh-CN" w:bidi="ar"/>
              </w:rPr>
              <w:t>4.工作期间微笑服务，态度和蔼，文明用语，耐心解答师生、外来人员的咨询。引起争执、争吵现象的，扣0.5分/次，造成严重后果的，扣2分/次。</w:t>
            </w:r>
          </w:p>
        </w:tc>
        <w:tc>
          <w:tcPr>
            <w:tcW w:w="815" w:type="dxa"/>
            <w:tcBorders>
              <w:left w:val="single" w:color="auto" w:sz="4" w:space="0"/>
            </w:tcBorders>
            <w:vAlign w:val="center"/>
          </w:tcPr>
          <w:p w14:paraId="3A4397E4">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0E833799">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16D28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continue"/>
            <w:tcBorders>
              <w:left w:val="single" w:color="auto" w:sz="4" w:space="0"/>
              <w:bottom w:val="single" w:color="auto" w:sz="4" w:space="0"/>
              <w:right w:val="single" w:color="auto" w:sz="4" w:space="0"/>
            </w:tcBorders>
            <w:textDirection w:val="tbRlV"/>
            <w:vAlign w:val="center"/>
          </w:tcPr>
          <w:p w14:paraId="541BE94C">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6EBB9386">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5.不服从学校合理工作安排，对上级要求整改之事项无动于衷的，扣5分/次；</w:t>
            </w:r>
          </w:p>
        </w:tc>
        <w:tc>
          <w:tcPr>
            <w:tcW w:w="815" w:type="dxa"/>
            <w:tcBorders>
              <w:left w:val="single" w:color="auto" w:sz="4" w:space="0"/>
            </w:tcBorders>
            <w:vAlign w:val="center"/>
          </w:tcPr>
          <w:p w14:paraId="6ABF733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33E55216">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7EC6A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restart"/>
            <w:tcBorders>
              <w:top w:val="single" w:color="auto" w:sz="4" w:space="0"/>
              <w:left w:val="single" w:color="auto" w:sz="4" w:space="0"/>
              <w:right w:val="single" w:color="auto" w:sz="4" w:space="0"/>
            </w:tcBorders>
            <w:vAlign w:val="center"/>
          </w:tcPr>
          <w:p w14:paraId="5B9827A0">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基本</w:t>
            </w:r>
          </w:p>
          <w:p w14:paraId="2F205692">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工作</w:t>
            </w:r>
          </w:p>
          <w:p w14:paraId="499AADF3">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职责</w:t>
            </w:r>
          </w:p>
        </w:tc>
        <w:tc>
          <w:tcPr>
            <w:tcW w:w="6446" w:type="dxa"/>
            <w:tcBorders>
              <w:top w:val="single" w:color="auto" w:sz="4" w:space="0"/>
              <w:left w:val="single" w:color="auto" w:sz="4" w:space="0"/>
              <w:bottom w:val="single" w:color="auto" w:sz="4" w:space="0"/>
              <w:right w:val="single" w:color="auto" w:sz="4" w:space="0"/>
            </w:tcBorders>
            <w:vAlign w:val="center"/>
          </w:tcPr>
          <w:p w14:paraId="6EE8D4DE">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1.做好值班室的日常卫生保洁、防火防盗工作；落实不到位扣0.2分/次；造成严重后果的，扣1分/次；</w:t>
            </w:r>
          </w:p>
        </w:tc>
        <w:tc>
          <w:tcPr>
            <w:tcW w:w="815" w:type="dxa"/>
            <w:tcBorders>
              <w:left w:val="single" w:color="auto" w:sz="4" w:space="0"/>
            </w:tcBorders>
            <w:vAlign w:val="center"/>
          </w:tcPr>
          <w:p w14:paraId="6365F29D">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0D063739">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0EBA6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continue"/>
            <w:tcBorders>
              <w:left w:val="single" w:color="auto" w:sz="4" w:space="0"/>
              <w:right w:val="single" w:color="auto" w:sz="4" w:space="0"/>
            </w:tcBorders>
            <w:vAlign w:val="center"/>
          </w:tcPr>
          <w:p w14:paraId="6CA62AB4">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00053AA3">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2.对滞留在校门口的人或车辆进行有效劝导劝离，避免形成拥堵，落实不到位的，扣0.5分/次；</w:t>
            </w:r>
          </w:p>
        </w:tc>
        <w:tc>
          <w:tcPr>
            <w:tcW w:w="815" w:type="dxa"/>
            <w:tcBorders>
              <w:left w:val="single" w:color="auto" w:sz="4" w:space="0"/>
            </w:tcBorders>
            <w:vAlign w:val="center"/>
          </w:tcPr>
          <w:p w14:paraId="4ADECBD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01DE18B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2C26B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continue"/>
            <w:tcBorders>
              <w:left w:val="single" w:color="auto" w:sz="4" w:space="0"/>
              <w:right w:val="single" w:color="auto" w:sz="4" w:space="0"/>
            </w:tcBorders>
            <w:vAlign w:val="center"/>
          </w:tcPr>
          <w:p w14:paraId="15117C3B">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03B02EE0">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3.正确熟练使用校园物防、技防系统，定时巡查，寄宿制学校，注重对宿舍周边的巡逻，未到位的扣0.2分/次；</w:t>
            </w:r>
          </w:p>
        </w:tc>
        <w:tc>
          <w:tcPr>
            <w:tcW w:w="815" w:type="dxa"/>
            <w:tcBorders>
              <w:left w:val="single" w:color="auto" w:sz="4" w:space="0"/>
            </w:tcBorders>
            <w:vAlign w:val="center"/>
          </w:tcPr>
          <w:p w14:paraId="4A2E042B">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136E331D">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52603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6" w:hRule="atLeast"/>
          <w:jc w:val="center"/>
        </w:trPr>
        <w:tc>
          <w:tcPr>
            <w:tcW w:w="768" w:type="dxa"/>
            <w:vMerge w:val="continue"/>
            <w:tcBorders>
              <w:left w:val="single" w:color="auto" w:sz="4" w:space="0"/>
              <w:right w:val="single" w:color="auto" w:sz="4" w:space="0"/>
            </w:tcBorders>
            <w:vAlign w:val="center"/>
          </w:tcPr>
          <w:p w14:paraId="4D5A119A">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tcBorders>
            <w:vAlign w:val="center"/>
          </w:tcPr>
          <w:p w14:paraId="5AF7C207">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4.严格履行进出校门来访登记制度。对家长、客人及其他进入校园要认真询问盘查和登记，必要时要电话联系学校领导，核实并获准许后方可让其进入。坚决杜绝商人、闲散人员、外来车辆进入校园，落实不到位扣0.5分，造成影响的扣1分/次；</w:t>
            </w:r>
          </w:p>
        </w:tc>
        <w:tc>
          <w:tcPr>
            <w:tcW w:w="815" w:type="dxa"/>
            <w:vAlign w:val="center"/>
          </w:tcPr>
          <w:p w14:paraId="2B0FE46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2CDDB11C">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5AF05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jc w:val="center"/>
        </w:trPr>
        <w:tc>
          <w:tcPr>
            <w:tcW w:w="768" w:type="dxa"/>
            <w:vMerge w:val="continue"/>
            <w:tcBorders>
              <w:left w:val="single" w:color="auto" w:sz="4" w:space="0"/>
              <w:right w:val="single" w:color="auto" w:sz="4" w:space="0"/>
            </w:tcBorders>
            <w:vAlign w:val="center"/>
          </w:tcPr>
          <w:p w14:paraId="400E504B">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vAlign w:val="center"/>
          </w:tcPr>
          <w:p w14:paraId="35923CE7">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5.上午、中午、下午、晚自习放学后不巡查校园及周边的视其情节扣0.2-1分/次；对学生打架、携带管制刀具等危险品进入校园的违纪违法行为、不合格现象视而不见，处理不力的，视其情节扣1-3分/次；</w:t>
            </w:r>
          </w:p>
        </w:tc>
        <w:tc>
          <w:tcPr>
            <w:tcW w:w="815" w:type="dxa"/>
            <w:vAlign w:val="center"/>
          </w:tcPr>
          <w:p w14:paraId="3C65917F">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22418A1D">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2F72E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 w:hRule="atLeast"/>
          <w:jc w:val="center"/>
        </w:trPr>
        <w:tc>
          <w:tcPr>
            <w:tcW w:w="768" w:type="dxa"/>
            <w:vMerge w:val="continue"/>
            <w:tcBorders>
              <w:left w:val="single" w:color="auto" w:sz="4" w:space="0"/>
              <w:right w:val="single" w:color="auto" w:sz="4" w:space="0"/>
            </w:tcBorders>
            <w:vAlign w:val="center"/>
          </w:tcPr>
          <w:p w14:paraId="3DE4D862">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vAlign w:val="center"/>
          </w:tcPr>
          <w:p w14:paraId="004F7BB0">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6.学校物品无放行条放出，对外来人员及车辆进入不登记、上课期间学生未执请假条出校的、不登记好各种表册的，扣0.5分/次；</w:t>
            </w:r>
          </w:p>
        </w:tc>
        <w:tc>
          <w:tcPr>
            <w:tcW w:w="815" w:type="dxa"/>
            <w:vAlign w:val="center"/>
          </w:tcPr>
          <w:p w14:paraId="7066A2BC">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4F52BBF3">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18FAA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 w:hRule="atLeast"/>
          <w:jc w:val="center"/>
        </w:trPr>
        <w:tc>
          <w:tcPr>
            <w:tcW w:w="768" w:type="dxa"/>
            <w:vMerge w:val="continue"/>
            <w:tcBorders>
              <w:left w:val="single" w:color="auto" w:sz="4" w:space="0"/>
              <w:right w:val="single" w:color="auto" w:sz="4" w:space="0"/>
            </w:tcBorders>
            <w:vAlign w:val="center"/>
          </w:tcPr>
          <w:p w14:paraId="5437C2B9">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vAlign w:val="center"/>
          </w:tcPr>
          <w:p w14:paraId="305D90A1">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7.对校园内乱丢、乱吐、乱涂乱贴、乱停乱放等不文明行为和学生追打、嬉闹、攀爬栏杆、围网等危险性行为不制止的，扣0.5分/次；</w:t>
            </w:r>
          </w:p>
        </w:tc>
        <w:tc>
          <w:tcPr>
            <w:tcW w:w="815" w:type="dxa"/>
            <w:vAlign w:val="center"/>
          </w:tcPr>
          <w:p w14:paraId="29B21A9B">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6A4E42E2">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68ED1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jc w:val="center"/>
        </w:trPr>
        <w:tc>
          <w:tcPr>
            <w:tcW w:w="768" w:type="dxa"/>
            <w:vMerge w:val="continue"/>
            <w:tcBorders>
              <w:left w:val="single" w:color="auto" w:sz="4" w:space="0"/>
              <w:right w:val="single" w:color="auto" w:sz="4" w:space="0"/>
            </w:tcBorders>
            <w:vAlign w:val="center"/>
          </w:tcPr>
          <w:p w14:paraId="0CECEF0F">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vAlign w:val="center"/>
          </w:tcPr>
          <w:p w14:paraId="62BAC1B2">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8.对突发事件或意外事故没有及时采取有效措施并上报的、扣2分/次，造成严重后果的，扣5分/次；</w:t>
            </w:r>
          </w:p>
        </w:tc>
        <w:tc>
          <w:tcPr>
            <w:tcW w:w="815" w:type="dxa"/>
            <w:vAlign w:val="center"/>
          </w:tcPr>
          <w:p w14:paraId="46A80A37">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6354FA41">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51617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jc w:val="center"/>
        </w:trPr>
        <w:tc>
          <w:tcPr>
            <w:tcW w:w="768" w:type="dxa"/>
            <w:vMerge w:val="continue"/>
            <w:tcBorders>
              <w:left w:val="single" w:color="auto" w:sz="4" w:space="0"/>
              <w:right w:val="single" w:color="auto" w:sz="4" w:space="0"/>
            </w:tcBorders>
            <w:vAlign w:val="center"/>
          </w:tcPr>
          <w:p w14:paraId="739353A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bottom w:val="single" w:color="auto" w:sz="4" w:space="0"/>
            </w:tcBorders>
            <w:vAlign w:val="center"/>
          </w:tcPr>
          <w:p w14:paraId="1FE33E5A">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9.经常检查校门的牢固程度，自觉做好维护工作，发现有异常现象及时报告；落实不到位扣0.2分；</w:t>
            </w:r>
          </w:p>
        </w:tc>
        <w:tc>
          <w:tcPr>
            <w:tcW w:w="815" w:type="dxa"/>
            <w:vAlign w:val="center"/>
          </w:tcPr>
          <w:p w14:paraId="745E5C96">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5ADD8BA6">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508C2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jc w:val="center"/>
        </w:trPr>
        <w:tc>
          <w:tcPr>
            <w:tcW w:w="768" w:type="dxa"/>
            <w:vMerge w:val="continue"/>
            <w:tcBorders>
              <w:left w:val="single" w:color="auto" w:sz="4" w:space="0"/>
              <w:right w:val="single" w:color="auto" w:sz="4" w:space="0"/>
            </w:tcBorders>
            <w:vAlign w:val="center"/>
          </w:tcPr>
          <w:p w14:paraId="200E182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bottom w:val="single" w:color="auto" w:sz="4" w:space="0"/>
            </w:tcBorders>
            <w:vAlign w:val="center"/>
          </w:tcPr>
          <w:p w14:paraId="1E09A1AE">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10.对进出校门及在校园内骑行电动车的师生佩戴头盔情况进行提醒和监督，在对违反学校对佩戴头盔要求的要及时等级并汇总上报维稳处。落实不到位的，扣0.1分/次。</w:t>
            </w:r>
          </w:p>
        </w:tc>
        <w:tc>
          <w:tcPr>
            <w:tcW w:w="815" w:type="dxa"/>
            <w:vAlign w:val="center"/>
          </w:tcPr>
          <w:p w14:paraId="0EBE259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1FF92D5F">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6A328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continue"/>
            <w:tcBorders>
              <w:left w:val="single" w:color="auto" w:sz="4" w:space="0"/>
              <w:right w:val="single" w:color="auto" w:sz="4" w:space="0"/>
            </w:tcBorders>
            <w:vAlign w:val="center"/>
          </w:tcPr>
          <w:p w14:paraId="2A326F53">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bottom w:val="single" w:color="auto" w:sz="4" w:space="0"/>
            </w:tcBorders>
            <w:vAlign w:val="center"/>
          </w:tcPr>
          <w:p w14:paraId="15D93126">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11.实行值班签到和交、接班情况登记制度，交接班记录不详、无记录扣0.1分/次；</w:t>
            </w:r>
          </w:p>
        </w:tc>
        <w:tc>
          <w:tcPr>
            <w:tcW w:w="815" w:type="dxa"/>
            <w:vAlign w:val="center"/>
          </w:tcPr>
          <w:p w14:paraId="12122FCD">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6651111D">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35BA9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jc w:val="center"/>
        </w:trPr>
        <w:tc>
          <w:tcPr>
            <w:tcW w:w="768" w:type="dxa"/>
            <w:vMerge w:val="restart"/>
            <w:tcBorders>
              <w:top w:val="single" w:color="auto" w:sz="4" w:space="0"/>
              <w:left w:val="single" w:color="auto" w:sz="4" w:space="0"/>
              <w:bottom w:val="single" w:color="auto" w:sz="4" w:space="0"/>
              <w:right w:val="single" w:color="auto" w:sz="4" w:space="0"/>
            </w:tcBorders>
            <w:vAlign w:val="center"/>
          </w:tcPr>
          <w:p w14:paraId="6B349E94">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安全 防范</w:t>
            </w:r>
          </w:p>
        </w:tc>
        <w:tc>
          <w:tcPr>
            <w:tcW w:w="6446" w:type="dxa"/>
            <w:tcBorders>
              <w:top w:val="single" w:color="auto" w:sz="4" w:space="0"/>
              <w:left w:val="single" w:color="auto" w:sz="4" w:space="0"/>
              <w:bottom w:val="single" w:color="auto" w:sz="4" w:space="0"/>
              <w:right w:val="single" w:color="auto" w:sz="4" w:space="0"/>
            </w:tcBorders>
            <w:vAlign w:val="center"/>
          </w:tcPr>
          <w:p w14:paraId="18F430E8">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1.学校财产失窃或公共财产受到破坏，扣1分/次；</w:t>
            </w:r>
          </w:p>
        </w:tc>
        <w:tc>
          <w:tcPr>
            <w:tcW w:w="815" w:type="dxa"/>
            <w:tcBorders>
              <w:left w:val="single" w:color="auto" w:sz="4" w:space="0"/>
            </w:tcBorders>
            <w:vAlign w:val="center"/>
          </w:tcPr>
          <w:p w14:paraId="3E1F697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10297DC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5B362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3" w:hRule="atLeast"/>
          <w:jc w:val="center"/>
        </w:trPr>
        <w:tc>
          <w:tcPr>
            <w:tcW w:w="768" w:type="dxa"/>
            <w:vMerge w:val="continue"/>
            <w:tcBorders>
              <w:left w:val="single" w:color="auto" w:sz="4" w:space="0"/>
              <w:right w:val="single" w:color="auto" w:sz="4" w:space="0"/>
            </w:tcBorders>
            <w:vAlign w:val="center"/>
          </w:tcPr>
          <w:p w14:paraId="1357621A">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2EC93D9A">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准时开启、锁好校门、及时启动学校其他安防设施设备；准时开好锁好办公楼、教学楼、实验楼、综合楼的主要通道门锁；晚上按时关闭办公楼等楼栋内过道灯、厅灯等，未落实扣0.1分/次；造成严重后果的，扣1分/次；</w:t>
            </w:r>
          </w:p>
        </w:tc>
        <w:tc>
          <w:tcPr>
            <w:tcW w:w="815" w:type="dxa"/>
            <w:tcBorders>
              <w:left w:val="single" w:color="auto" w:sz="4" w:space="0"/>
            </w:tcBorders>
            <w:vAlign w:val="center"/>
          </w:tcPr>
          <w:p w14:paraId="50324138">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3FC883C4">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3650C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3860FA7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517DEB54">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3.当班期间出现紧急情况而没救护的，恶劣天气不能自觉坚守岗位的，0.5分/次，造成严重后果的，扣1分/次；</w:t>
            </w:r>
          </w:p>
        </w:tc>
        <w:tc>
          <w:tcPr>
            <w:tcW w:w="815" w:type="dxa"/>
            <w:tcBorders>
              <w:left w:val="single" w:color="auto" w:sz="4" w:space="0"/>
            </w:tcBorders>
            <w:vAlign w:val="center"/>
          </w:tcPr>
          <w:p w14:paraId="009B9F6F">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65D9B97C">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555B8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jc w:val="center"/>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68FB3148">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53D911AE">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8.密切注意监控设备运行状况，保证监控设备系统的正常运作，发现设备出现异常和故障要及时报修，并向有关领导报告；未落实扣0.2分/次；</w:t>
            </w:r>
          </w:p>
        </w:tc>
        <w:tc>
          <w:tcPr>
            <w:tcW w:w="815" w:type="dxa"/>
            <w:tcBorders>
              <w:left w:val="single" w:color="auto" w:sz="4" w:space="0"/>
            </w:tcBorders>
            <w:vAlign w:val="center"/>
          </w:tcPr>
          <w:p w14:paraId="42935D20">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1D1EAECD">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29257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3" w:hRule="atLeast"/>
          <w:jc w:val="center"/>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5DC2D0B0">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23904EBA">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4.安全、消防设施检查、保养不到位，安全隐患不采取适当措施整治、未按时开关门的，扣0.5分/次，事情重复发生或情况蔓延的，扣2分/次，造成重大后果的，扣5分/次；</w:t>
            </w:r>
          </w:p>
        </w:tc>
        <w:tc>
          <w:tcPr>
            <w:tcW w:w="815" w:type="dxa"/>
            <w:tcBorders>
              <w:left w:val="single" w:color="auto" w:sz="4" w:space="0"/>
            </w:tcBorders>
            <w:vAlign w:val="center"/>
          </w:tcPr>
          <w:p w14:paraId="7469FBE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43E5EE05">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0C2CE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restart"/>
            <w:tcBorders>
              <w:top w:val="single" w:color="auto" w:sz="4" w:space="0"/>
              <w:left w:val="single" w:color="auto" w:sz="4" w:space="0"/>
              <w:right w:val="single" w:color="auto" w:sz="4" w:space="0"/>
            </w:tcBorders>
            <w:vAlign w:val="center"/>
          </w:tcPr>
          <w:p w14:paraId="6BF1D4D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治安</w:t>
            </w:r>
          </w:p>
          <w:p w14:paraId="2A97A058">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调解</w:t>
            </w:r>
          </w:p>
        </w:tc>
        <w:tc>
          <w:tcPr>
            <w:tcW w:w="6446" w:type="dxa"/>
            <w:tcBorders>
              <w:top w:val="single" w:color="auto" w:sz="4" w:space="0"/>
              <w:left w:val="single" w:color="auto" w:sz="4" w:space="0"/>
              <w:bottom w:val="single" w:color="auto" w:sz="4" w:space="0"/>
              <w:right w:val="single" w:color="auto" w:sz="4" w:space="0"/>
            </w:tcBorders>
            <w:vAlign w:val="center"/>
          </w:tcPr>
          <w:p w14:paraId="26BEEECC">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1.对师生、家长与老师、外来人员与学生等发生的纠纷事件视而不见的，扣1分/次；</w:t>
            </w:r>
          </w:p>
        </w:tc>
        <w:tc>
          <w:tcPr>
            <w:tcW w:w="815" w:type="dxa"/>
            <w:tcBorders>
              <w:left w:val="single" w:color="auto" w:sz="4" w:space="0"/>
            </w:tcBorders>
            <w:vAlign w:val="center"/>
          </w:tcPr>
          <w:p w14:paraId="200FF709">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34ABC8D0">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75158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jc w:val="center"/>
        </w:trPr>
        <w:tc>
          <w:tcPr>
            <w:tcW w:w="768" w:type="dxa"/>
            <w:vMerge w:val="continue"/>
            <w:tcBorders>
              <w:left w:val="single" w:color="auto" w:sz="4" w:space="0"/>
              <w:right w:val="single" w:color="auto" w:sz="4" w:space="0"/>
            </w:tcBorders>
            <w:vAlign w:val="center"/>
          </w:tcPr>
          <w:p w14:paraId="6C8D98D3">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3C576F7C">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2.遇斗殴、盗窃等危害学校安全行为不即时处理、记录、上报的，扣1分/次；包庇或隐瞒违纪违法行为的，扣30分/次；</w:t>
            </w:r>
          </w:p>
        </w:tc>
        <w:tc>
          <w:tcPr>
            <w:tcW w:w="815" w:type="dxa"/>
            <w:tcBorders>
              <w:left w:val="single" w:color="auto" w:sz="4" w:space="0"/>
            </w:tcBorders>
            <w:vAlign w:val="center"/>
          </w:tcPr>
          <w:p w14:paraId="36AA3796">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1878CE82">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71F0B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9" w:hRule="atLeast"/>
          <w:jc w:val="center"/>
        </w:trPr>
        <w:tc>
          <w:tcPr>
            <w:tcW w:w="768" w:type="dxa"/>
            <w:vMerge w:val="continue"/>
            <w:tcBorders>
              <w:left w:val="single" w:color="auto" w:sz="4" w:space="0"/>
              <w:right w:val="single" w:color="auto" w:sz="4" w:space="0"/>
            </w:tcBorders>
            <w:vAlign w:val="center"/>
          </w:tcPr>
          <w:p w14:paraId="334C9C54">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45BB0667">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3.发现可疑的人、事要及时向学校和公安机关报告，取得联系，并主动配合维稳部门和公安机关的工作，落实不到位扣1分；</w:t>
            </w:r>
          </w:p>
        </w:tc>
        <w:tc>
          <w:tcPr>
            <w:tcW w:w="815" w:type="dxa"/>
            <w:tcBorders>
              <w:left w:val="single" w:color="auto" w:sz="4" w:space="0"/>
            </w:tcBorders>
            <w:vAlign w:val="center"/>
          </w:tcPr>
          <w:p w14:paraId="54BDA560">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197B6C86">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2AF79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jc w:val="center"/>
        </w:trPr>
        <w:tc>
          <w:tcPr>
            <w:tcW w:w="768" w:type="dxa"/>
            <w:vMerge w:val="restart"/>
            <w:tcBorders>
              <w:top w:val="single" w:color="auto" w:sz="4" w:space="0"/>
              <w:left w:val="single" w:color="auto" w:sz="4" w:space="0"/>
              <w:bottom w:val="single" w:color="auto" w:sz="4" w:space="0"/>
              <w:right w:val="single" w:color="auto" w:sz="4" w:space="0"/>
            </w:tcBorders>
            <w:vAlign w:val="center"/>
          </w:tcPr>
          <w:p w14:paraId="4F1AEC2C">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特殊 奖分</w:t>
            </w:r>
          </w:p>
        </w:tc>
        <w:tc>
          <w:tcPr>
            <w:tcW w:w="6446" w:type="dxa"/>
            <w:tcBorders>
              <w:top w:val="single" w:color="auto" w:sz="4" w:space="0"/>
              <w:left w:val="single" w:color="auto" w:sz="4" w:space="0"/>
              <w:bottom w:val="single" w:color="auto" w:sz="4" w:space="0"/>
              <w:right w:val="single" w:color="auto" w:sz="4" w:space="0"/>
            </w:tcBorders>
            <w:vAlign w:val="center"/>
          </w:tcPr>
          <w:p w14:paraId="4D0274D0">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1.抓获学生损坏公共财产，破坏花草树木及校园设施、 赌博、上网、打架等，视情况奖励0.2-3分/次；</w:t>
            </w:r>
          </w:p>
        </w:tc>
        <w:tc>
          <w:tcPr>
            <w:tcW w:w="815" w:type="dxa"/>
            <w:tcBorders>
              <w:left w:val="single" w:color="auto" w:sz="4" w:space="0"/>
            </w:tcBorders>
            <w:vAlign w:val="center"/>
          </w:tcPr>
          <w:p w14:paraId="40C804C8">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4DF01D29">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2D277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3" w:hRule="atLeast"/>
          <w:jc w:val="center"/>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6E85AE7A">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4D9DDA4F">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2.抓获学生无故晚归、翻爬围墙或窗户、抽烟、喝酒、在教学区大喊大叫、在楼道或教室里打闹、在楼道或教室里打球、乱丢、乱吐、乱涂乱贴、乱停乱放等违规违纪行为的，视情况奖 0.1-1分/次；</w:t>
            </w:r>
          </w:p>
        </w:tc>
        <w:tc>
          <w:tcPr>
            <w:tcW w:w="815" w:type="dxa"/>
            <w:tcBorders>
              <w:left w:val="single" w:color="auto" w:sz="4" w:space="0"/>
            </w:tcBorders>
            <w:vAlign w:val="center"/>
          </w:tcPr>
          <w:p w14:paraId="09CE53B1">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34411122">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0E24B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4FDAE360">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0F1E44AA">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3.抓获校外人员盗窃或损坏学校财产的，奖 5分/次；</w:t>
            </w:r>
          </w:p>
        </w:tc>
        <w:tc>
          <w:tcPr>
            <w:tcW w:w="815" w:type="dxa"/>
            <w:tcBorders>
              <w:left w:val="single" w:color="auto" w:sz="4" w:space="0"/>
            </w:tcBorders>
            <w:vAlign w:val="center"/>
          </w:tcPr>
          <w:p w14:paraId="4C3C175A">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7FF3A54C">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r w14:paraId="078E3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768" w:type="dxa"/>
            <w:vMerge w:val="continue"/>
            <w:tcBorders>
              <w:top w:val="single" w:color="auto" w:sz="4" w:space="0"/>
              <w:left w:val="single" w:color="auto" w:sz="4" w:space="0"/>
              <w:bottom w:val="single" w:color="auto" w:sz="4" w:space="0"/>
              <w:right w:val="single" w:color="auto" w:sz="4" w:space="0"/>
            </w:tcBorders>
            <w:vAlign w:val="center"/>
          </w:tcPr>
          <w:p w14:paraId="35C0F982">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6446" w:type="dxa"/>
            <w:tcBorders>
              <w:top w:val="single" w:color="auto" w:sz="4" w:space="0"/>
              <w:left w:val="single" w:color="auto" w:sz="4" w:space="0"/>
              <w:bottom w:val="single" w:color="auto" w:sz="4" w:space="0"/>
              <w:right w:val="single" w:color="auto" w:sz="4" w:space="0"/>
            </w:tcBorders>
            <w:vAlign w:val="center"/>
          </w:tcPr>
          <w:p w14:paraId="58B1E855">
            <w:pPr>
              <w:pStyle w:val="5"/>
              <w:keepNext w:val="0"/>
              <w:keepLines w:val="0"/>
              <w:pageBreakBefore w:val="0"/>
              <w:tabs>
                <w:tab w:val="left" w:pos="6300"/>
              </w:tabs>
              <w:kinsoku/>
              <w:wordWrap/>
              <w:overflowPunct/>
              <w:topLinePunct w:val="0"/>
              <w:bidi w:val="0"/>
              <w:adjustRightInd/>
              <w:snapToGrid/>
              <w:spacing w:after="0" w:afterLines="0" w:line="576" w:lineRule="exact"/>
              <w:ind w:left="216" w:leftChars="103" w:right="134" w:rightChars="64" w:firstLine="0" w:firstLineChars="0"/>
              <w:jc w:val="left"/>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4.为维护学校安全、遇突发事件奋不顾身、拼力抢救的，视其情况，奖20-30分/次。</w:t>
            </w:r>
          </w:p>
        </w:tc>
        <w:tc>
          <w:tcPr>
            <w:tcW w:w="815" w:type="dxa"/>
            <w:tcBorders>
              <w:left w:val="single" w:color="auto" w:sz="4" w:space="0"/>
            </w:tcBorders>
            <w:vAlign w:val="center"/>
          </w:tcPr>
          <w:p w14:paraId="4D162E5E">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c>
          <w:tcPr>
            <w:tcW w:w="710" w:type="dxa"/>
            <w:vAlign w:val="center"/>
          </w:tcPr>
          <w:p w14:paraId="53C75ADC">
            <w:pPr>
              <w:pStyle w:val="5"/>
              <w:keepNext w:val="0"/>
              <w:keepLines w:val="0"/>
              <w:pageBreakBefore w:val="0"/>
              <w:kinsoku/>
              <w:wordWrap/>
              <w:overflowPunct/>
              <w:topLinePunct w:val="0"/>
              <w:bidi w:val="0"/>
              <w:adjustRightInd/>
              <w:snapToGrid/>
              <w:spacing w:after="0" w:afterLines="0" w:line="576" w:lineRule="exact"/>
              <w:jc w:val="center"/>
              <w:rPr>
                <w:rFonts w:hint="eastAsia" w:ascii="仿宋_GB2312" w:hAnsi="仿宋_GB2312" w:eastAsia="仿宋_GB2312" w:cs="仿宋_GB2312"/>
                <w:b w:val="0"/>
                <w:bCs w:val="0"/>
                <w:color w:val="000000"/>
                <w:sz w:val="24"/>
                <w:szCs w:val="24"/>
                <w:lang w:val="en-US" w:eastAsia="zh-CN"/>
              </w:rPr>
            </w:pPr>
          </w:p>
        </w:tc>
      </w:tr>
    </w:tbl>
    <w:p w14:paraId="0B2597B4">
      <w:pPr>
        <w:keepNext w:val="0"/>
        <w:keepLines w:val="0"/>
        <w:pageBreakBefore w:val="0"/>
        <w:numPr>
          <w:ilvl w:val="0"/>
          <w:numId w:val="0"/>
        </w:numPr>
        <w:kinsoku/>
        <w:wordWrap/>
        <w:overflowPunct/>
        <w:topLinePunct w:val="0"/>
        <w:autoSpaceDE w:val="0"/>
        <w:autoSpaceDN w:val="0"/>
        <w:bidi w:val="0"/>
        <w:adjustRightInd/>
        <w:snapToGrid/>
        <w:spacing w:beforeAutospacing="0" w:afterAutospacing="0" w:line="576"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zh-TW" w:eastAsia="zh-TW" w:bidi="ar-SA"/>
        </w:rPr>
      </w:pPr>
      <w:bookmarkStart w:id="15" w:name="_GoBack"/>
      <w:bookmarkEnd w:id="15"/>
      <w:r>
        <w:rPr>
          <w:rFonts w:hint="eastAsia" w:ascii="仿宋_GB2312" w:hAnsi="仿宋_GB2312" w:eastAsia="仿宋_GB2312" w:cs="仿宋_GB2312"/>
          <w:b w:val="0"/>
          <w:bCs w:val="0"/>
          <w:color w:val="auto"/>
          <w:kern w:val="2"/>
          <w:sz w:val="24"/>
          <w:szCs w:val="24"/>
          <w:lang w:val="zh-TW" w:eastAsia="zh-TW" w:bidi="ar-SA"/>
        </w:rPr>
        <w:t>一、</w:t>
      </w:r>
      <w:r>
        <w:rPr>
          <w:rFonts w:hint="eastAsia" w:ascii="仿宋_GB2312" w:hAnsi="仿宋_GB2312" w:eastAsia="仿宋_GB2312" w:cs="仿宋_GB2312"/>
          <w:b w:val="0"/>
          <w:bCs w:val="0"/>
          <w:color w:val="000000"/>
          <w:sz w:val="24"/>
          <w:szCs w:val="24"/>
          <w:highlight w:val="none"/>
          <w:lang w:val="en-US" w:eastAsia="zh-CN"/>
        </w:rPr>
        <w:t>本项目为交钥匙项目，即：</w:t>
      </w:r>
      <w:r>
        <w:rPr>
          <w:rFonts w:hint="eastAsia" w:ascii="仿宋_GB2312" w:hAnsi="仿宋_GB2312" w:eastAsia="仿宋_GB2312" w:cs="仿宋_GB2312"/>
          <w:b w:val="0"/>
          <w:bCs w:val="0"/>
          <w:color w:val="000000"/>
          <w:sz w:val="24"/>
          <w:szCs w:val="24"/>
          <w:highlight w:val="none"/>
          <w:lang w:val="zh-TW" w:eastAsia="zh-TW"/>
        </w:rPr>
        <w:t>报价包括以下内容：</w:t>
      </w:r>
      <w:r>
        <w:rPr>
          <w:rFonts w:hint="eastAsia" w:ascii="仿宋_GB2312" w:hAnsi="仿宋_GB2312" w:eastAsia="仿宋_GB2312" w:cs="仿宋_GB2312"/>
          <w:b w:val="0"/>
          <w:bCs w:val="0"/>
          <w:color w:val="000000"/>
          <w:sz w:val="24"/>
          <w:szCs w:val="24"/>
          <w:highlight w:val="none"/>
          <w:lang w:val="zh-TW" w:eastAsia="zh-CN"/>
        </w:rPr>
        <w:t>（</w:t>
      </w:r>
      <w:r>
        <w:rPr>
          <w:rFonts w:hint="eastAsia" w:ascii="仿宋_GB2312" w:hAnsi="仿宋_GB2312" w:eastAsia="仿宋_GB2312" w:cs="仿宋_GB2312"/>
          <w:b w:val="0"/>
          <w:bCs w:val="0"/>
          <w:color w:val="000000"/>
          <w:sz w:val="24"/>
          <w:szCs w:val="24"/>
          <w:highlight w:val="none"/>
          <w:lang w:val="en-US" w:eastAsia="zh-CN"/>
        </w:rPr>
        <w:t>1</w:t>
      </w:r>
      <w:r>
        <w:rPr>
          <w:rFonts w:hint="eastAsia" w:ascii="仿宋_GB2312" w:hAnsi="仿宋_GB2312" w:eastAsia="仿宋_GB2312" w:cs="仿宋_GB2312"/>
          <w:b w:val="0"/>
          <w:bCs w:val="0"/>
          <w:color w:val="000000"/>
          <w:sz w:val="24"/>
          <w:szCs w:val="24"/>
          <w:highlight w:val="none"/>
          <w:lang w:val="zh-TW" w:eastAsia="zh-CN"/>
        </w:rPr>
        <w:t>）</w:t>
      </w:r>
      <w:r>
        <w:rPr>
          <w:rFonts w:hint="eastAsia" w:ascii="仿宋_GB2312" w:hAnsi="仿宋_GB2312" w:eastAsia="仿宋_GB2312" w:cs="仿宋_GB2312"/>
          <w:b w:val="0"/>
          <w:bCs w:val="0"/>
          <w:color w:val="000000"/>
          <w:sz w:val="24"/>
          <w:szCs w:val="24"/>
          <w:highlight w:val="none"/>
          <w:lang w:val="zh-TW" w:eastAsia="zh-TW"/>
        </w:rPr>
        <w:t>人员工资待遇费用，</w:t>
      </w:r>
      <w:r>
        <w:rPr>
          <w:rFonts w:hint="eastAsia" w:ascii="仿宋_GB2312" w:hAnsi="仿宋_GB2312" w:eastAsia="仿宋_GB2312" w:cs="仿宋_GB2312"/>
          <w:b w:val="0"/>
          <w:bCs w:val="0"/>
          <w:color w:val="000000"/>
          <w:kern w:val="2"/>
          <w:sz w:val="24"/>
          <w:szCs w:val="24"/>
          <w:lang w:val="zh-TW" w:eastAsia="zh-TW" w:bidi="ar-SA"/>
        </w:rPr>
        <w:t>包括项目所有服务人员基本工资、绩效考核、社会保险费、福利费、节假日按国家规定标准发放的加班费、服装费、食宿费等，且人员工资</w:t>
      </w:r>
      <w:r>
        <w:rPr>
          <w:rFonts w:hint="eastAsia" w:ascii="仿宋_GB2312" w:hAnsi="仿宋_GB2312" w:eastAsia="仿宋_GB2312" w:cs="仿宋_GB2312"/>
          <w:b w:val="0"/>
          <w:bCs w:val="0"/>
          <w:color w:val="000000"/>
          <w:kern w:val="2"/>
          <w:sz w:val="24"/>
          <w:szCs w:val="24"/>
          <w:lang w:val="en-US" w:eastAsia="zh-CN" w:bidi="ar-SA"/>
        </w:rPr>
        <w:t>标准</w:t>
      </w:r>
      <w:r>
        <w:rPr>
          <w:rFonts w:hint="eastAsia" w:ascii="仿宋_GB2312" w:hAnsi="仿宋_GB2312" w:eastAsia="仿宋_GB2312" w:cs="仿宋_GB2312"/>
          <w:b w:val="0"/>
          <w:bCs w:val="0"/>
          <w:color w:val="000000"/>
          <w:kern w:val="2"/>
          <w:sz w:val="24"/>
          <w:szCs w:val="24"/>
          <w:lang w:val="zh-TW" w:eastAsia="zh-TW" w:bidi="ar-SA"/>
        </w:rPr>
        <w:t>不得低于</w:t>
      </w:r>
      <w:r>
        <w:rPr>
          <w:rFonts w:hint="eastAsia" w:ascii="仿宋_GB2312" w:hAnsi="仿宋_GB2312" w:eastAsia="仿宋_GB2312" w:cs="仿宋_GB2312"/>
          <w:b w:val="0"/>
          <w:bCs w:val="0"/>
          <w:color w:val="000000"/>
          <w:kern w:val="2"/>
          <w:sz w:val="24"/>
          <w:szCs w:val="24"/>
          <w:lang w:val="en-US" w:eastAsia="zh-CN" w:bidi="ar-SA"/>
        </w:rPr>
        <w:t>上饶市最低工资标准；</w:t>
      </w:r>
      <w:r>
        <w:rPr>
          <w:rFonts w:hint="eastAsia" w:ascii="仿宋_GB2312" w:hAnsi="仿宋_GB2312" w:eastAsia="仿宋_GB2312" w:cs="仿宋_GB2312"/>
          <w:b w:val="0"/>
          <w:bCs w:val="0"/>
          <w:color w:val="000000"/>
          <w:kern w:val="2"/>
          <w:sz w:val="24"/>
          <w:szCs w:val="24"/>
          <w:lang w:val="zh-TW" w:eastAsia="zh-CN" w:bidi="ar-SA"/>
        </w:rPr>
        <w:t>（</w:t>
      </w:r>
      <w:r>
        <w:rPr>
          <w:rFonts w:hint="eastAsia" w:ascii="仿宋_GB2312" w:hAnsi="仿宋_GB2312" w:eastAsia="仿宋_GB2312" w:cs="仿宋_GB2312"/>
          <w:b w:val="0"/>
          <w:bCs w:val="0"/>
          <w:color w:val="000000"/>
          <w:kern w:val="2"/>
          <w:sz w:val="24"/>
          <w:szCs w:val="24"/>
          <w:lang w:val="en-US" w:eastAsia="zh-CN" w:bidi="ar-SA"/>
        </w:rPr>
        <w:t>2</w:t>
      </w:r>
      <w:r>
        <w:rPr>
          <w:rFonts w:hint="eastAsia" w:ascii="仿宋_GB2312" w:hAnsi="仿宋_GB2312" w:eastAsia="仿宋_GB2312" w:cs="仿宋_GB2312"/>
          <w:b w:val="0"/>
          <w:bCs w:val="0"/>
          <w:color w:val="000000"/>
          <w:kern w:val="2"/>
          <w:sz w:val="24"/>
          <w:szCs w:val="24"/>
          <w:lang w:val="zh-TW" w:eastAsia="zh-CN" w:bidi="ar-SA"/>
        </w:rPr>
        <w:t>）安保人员补助费用：</w:t>
      </w:r>
      <w:r>
        <w:rPr>
          <w:rFonts w:hint="eastAsia" w:ascii="仿宋_GB2312" w:hAnsi="仿宋_GB2312" w:eastAsia="仿宋_GB2312" w:cs="仿宋_GB2312"/>
          <w:b w:val="0"/>
          <w:bCs w:val="0"/>
          <w:color w:val="000000"/>
          <w:kern w:val="2"/>
          <w:sz w:val="24"/>
          <w:szCs w:val="24"/>
          <w:lang w:val="zh-TW" w:eastAsia="zh-TW" w:bidi="ar-SA"/>
        </w:rPr>
        <w:t>包括</w:t>
      </w:r>
      <w:r>
        <w:rPr>
          <w:rFonts w:hint="eastAsia" w:ascii="仿宋_GB2312" w:hAnsi="仿宋_GB2312" w:eastAsia="仿宋_GB2312" w:cs="仿宋_GB2312"/>
          <w:b w:val="0"/>
          <w:bCs w:val="0"/>
          <w:color w:val="000000"/>
          <w:kern w:val="2"/>
          <w:sz w:val="24"/>
          <w:szCs w:val="24"/>
          <w:lang w:val="zh-TW" w:eastAsia="zh-CN" w:bidi="ar-SA"/>
        </w:rPr>
        <w:t>安保人员的服装</w:t>
      </w:r>
      <w:r>
        <w:rPr>
          <w:rFonts w:hint="eastAsia" w:ascii="仿宋_GB2312" w:hAnsi="仿宋_GB2312" w:eastAsia="仿宋_GB2312" w:cs="仿宋_GB2312"/>
          <w:b w:val="0"/>
          <w:bCs w:val="0"/>
          <w:color w:val="000000"/>
          <w:kern w:val="2"/>
          <w:sz w:val="24"/>
          <w:szCs w:val="24"/>
          <w:lang w:val="zh-TW" w:eastAsia="zh-TW" w:bidi="ar-SA"/>
        </w:rPr>
        <w:t>费</w:t>
      </w:r>
      <w:r>
        <w:rPr>
          <w:rFonts w:hint="eastAsia" w:ascii="仿宋_GB2312" w:hAnsi="仿宋_GB2312" w:eastAsia="仿宋_GB2312" w:cs="仿宋_GB2312"/>
          <w:b w:val="0"/>
          <w:bCs w:val="0"/>
          <w:color w:val="000000"/>
          <w:kern w:val="2"/>
          <w:sz w:val="24"/>
          <w:szCs w:val="24"/>
          <w:lang w:val="zh-TW" w:eastAsia="zh-CN" w:bidi="ar-SA"/>
        </w:rPr>
        <w:t>和餐费</w:t>
      </w:r>
      <w:r>
        <w:rPr>
          <w:rFonts w:hint="eastAsia" w:ascii="仿宋_GB2312" w:hAnsi="仿宋_GB2312" w:eastAsia="仿宋_GB2312" w:cs="仿宋_GB2312"/>
          <w:b w:val="0"/>
          <w:bCs w:val="0"/>
          <w:color w:val="000000"/>
          <w:kern w:val="2"/>
          <w:sz w:val="24"/>
          <w:szCs w:val="24"/>
          <w:lang w:val="zh-TW" w:eastAsia="zh-TW" w:bidi="ar-SA"/>
        </w:rPr>
        <w:t>；</w:t>
      </w:r>
      <w:r>
        <w:rPr>
          <w:rFonts w:hint="eastAsia" w:ascii="仿宋_GB2312" w:hAnsi="仿宋_GB2312" w:eastAsia="仿宋_GB2312" w:cs="仿宋_GB2312"/>
          <w:b w:val="0"/>
          <w:bCs w:val="0"/>
          <w:color w:val="000000"/>
          <w:kern w:val="2"/>
          <w:sz w:val="24"/>
          <w:szCs w:val="24"/>
          <w:lang w:val="zh-TW" w:eastAsia="zh-CN" w:bidi="ar-SA"/>
        </w:rPr>
        <w:t>（</w:t>
      </w:r>
      <w:r>
        <w:rPr>
          <w:rFonts w:hint="eastAsia" w:ascii="仿宋_GB2312" w:hAnsi="仿宋_GB2312" w:eastAsia="仿宋_GB2312" w:cs="仿宋_GB2312"/>
          <w:b w:val="0"/>
          <w:bCs w:val="0"/>
          <w:color w:val="000000"/>
          <w:kern w:val="2"/>
          <w:sz w:val="24"/>
          <w:szCs w:val="24"/>
          <w:lang w:val="en-US" w:eastAsia="zh-CN" w:bidi="ar-SA"/>
        </w:rPr>
        <w:t>3</w:t>
      </w:r>
      <w:r>
        <w:rPr>
          <w:rFonts w:hint="eastAsia" w:ascii="仿宋_GB2312" w:hAnsi="仿宋_GB2312" w:eastAsia="仿宋_GB2312" w:cs="仿宋_GB2312"/>
          <w:b w:val="0"/>
          <w:bCs w:val="0"/>
          <w:color w:val="000000"/>
          <w:kern w:val="2"/>
          <w:sz w:val="24"/>
          <w:szCs w:val="24"/>
          <w:lang w:val="zh-TW" w:eastAsia="zh-CN" w:bidi="ar-SA"/>
        </w:rPr>
        <w:t>）</w:t>
      </w:r>
      <w:r>
        <w:rPr>
          <w:rFonts w:hint="eastAsia" w:ascii="仿宋_GB2312" w:hAnsi="仿宋_GB2312" w:eastAsia="仿宋_GB2312" w:cs="仿宋_GB2312"/>
          <w:b w:val="0"/>
          <w:bCs w:val="0"/>
          <w:color w:val="000000"/>
          <w:kern w:val="2"/>
          <w:sz w:val="24"/>
          <w:szCs w:val="24"/>
          <w:lang w:val="zh-TW" w:eastAsia="zh-TW" w:bidi="ar-SA"/>
        </w:rPr>
        <w:t>办公用品费，包括项目服务人员办公使用的电脑、打印机、劳保用品</w:t>
      </w:r>
      <w:r>
        <w:rPr>
          <w:rFonts w:hint="eastAsia" w:ascii="仿宋_GB2312" w:hAnsi="仿宋_GB2312" w:eastAsia="仿宋_GB2312" w:cs="仿宋_GB2312"/>
          <w:b w:val="0"/>
          <w:bCs w:val="0"/>
          <w:color w:val="000000"/>
          <w:kern w:val="2"/>
          <w:sz w:val="24"/>
          <w:szCs w:val="24"/>
          <w:lang w:val="zh-TW" w:eastAsia="zh-CN" w:bidi="ar-SA"/>
        </w:rPr>
        <w:t>、</w:t>
      </w:r>
      <w:r>
        <w:rPr>
          <w:rFonts w:hint="eastAsia" w:ascii="仿宋_GB2312" w:hAnsi="仿宋_GB2312" w:eastAsia="仿宋_GB2312" w:cs="仿宋_GB2312"/>
          <w:b w:val="0"/>
          <w:bCs w:val="0"/>
          <w:color w:val="000000"/>
          <w:kern w:val="2"/>
          <w:sz w:val="24"/>
          <w:szCs w:val="24"/>
          <w:lang w:val="zh-TW" w:eastAsia="zh-TW" w:bidi="ar-SA"/>
        </w:rPr>
        <w:t>值班室</w:t>
      </w:r>
      <w:r>
        <w:rPr>
          <w:rFonts w:hint="eastAsia" w:ascii="仿宋_GB2312" w:hAnsi="仿宋_GB2312" w:eastAsia="仿宋_GB2312" w:cs="仿宋_GB2312"/>
          <w:b w:val="0"/>
          <w:bCs w:val="0"/>
          <w:color w:val="000000"/>
          <w:kern w:val="2"/>
          <w:sz w:val="24"/>
          <w:szCs w:val="24"/>
          <w:lang w:val="en-US" w:eastAsia="zh-CN" w:bidi="ar-SA"/>
        </w:rPr>
        <w:t>安保</w:t>
      </w:r>
      <w:r>
        <w:rPr>
          <w:rFonts w:hint="eastAsia" w:ascii="仿宋_GB2312" w:hAnsi="仿宋_GB2312" w:eastAsia="仿宋_GB2312" w:cs="仿宋_GB2312"/>
          <w:b w:val="0"/>
          <w:bCs w:val="0"/>
          <w:color w:val="000000"/>
          <w:kern w:val="2"/>
          <w:sz w:val="24"/>
          <w:szCs w:val="24"/>
          <w:lang w:val="zh-TW" w:eastAsia="zh-TW" w:bidi="ar-SA"/>
        </w:rPr>
        <w:t>应急设备的添置等；</w:t>
      </w:r>
      <w:r>
        <w:rPr>
          <w:rFonts w:hint="eastAsia" w:ascii="仿宋_GB2312" w:hAnsi="仿宋_GB2312" w:eastAsia="仿宋_GB2312" w:cs="仿宋_GB2312"/>
          <w:b w:val="0"/>
          <w:bCs w:val="0"/>
          <w:color w:val="000000"/>
          <w:kern w:val="2"/>
          <w:sz w:val="24"/>
          <w:szCs w:val="24"/>
          <w:lang w:val="zh-TW" w:eastAsia="zh-CN" w:bidi="ar-SA"/>
        </w:rPr>
        <w:t>（</w:t>
      </w:r>
      <w:r>
        <w:rPr>
          <w:rFonts w:hint="eastAsia" w:ascii="仿宋_GB2312" w:hAnsi="仿宋_GB2312" w:eastAsia="仿宋_GB2312" w:cs="仿宋_GB2312"/>
          <w:b w:val="0"/>
          <w:bCs w:val="0"/>
          <w:color w:val="000000"/>
          <w:kern w:val="2"/>
          <w:sz w:val="24"/>
          <w:szCs w:val="24"/>
          <w:lang w:val="en-US" w:eastAsia="zh-CN" w:bidi="ar-SA"/>
        </w:rPr>
        <w:t>4</w:t>
      </w:r>
      <w:r>
        <w:rPr>
          <w:rFonts w:hint="eastAsia" w:ascii="仿宋_GB2312" w:hAnsi="仿宋_GB2312" w:eastAsia="仿宋_GB2312" w:cs="仿宋_GB2312"/>
          <w:b w:val="0"/>
          <w:bCs w:val="0"/>
          <w:color w:val="000000"/>
          <w:kern w:val="2"/>
          <w:sz w:val="24"/>
          <w:szCs w:val="24"/>
          <w:lang w:val="zh-TW" w:eastAsia="zh-CN" w:bidi="ar-SA"/>
        </w:rPr>
        <w:t>）</w:t>
      </w:r>
      <w:r>
        <w:rPr>
          <w:rFonts w:hint="eastAsia" w:ascii="仿宋_GB2312" w:hAnsi="仿宋_GB2312" w:eastAsia="仿宋_GB2312" w:cs="仿宋_GB2312"/>
          <w:b w:val="0"/>
          <w:bCs w:val="0"/>
          <w:color w:val="000000"/>
          <w:kern w:val="2"/>
          <w:sz w:val="24"/>
          <w:szCs w:val="24"/>
          <w:lang w:val="zh-TW" w:eastAsia="zh-TW" w:bidi="ar-SA"/>
        </w:rPr>
        <w:t>法定税费、人员培训费、合理利润、管理费、</w:t>
      </w:r>
      <w:r>
        <w:rPr>
          <w:rFonts w:hint="eastAsia" w:ascii="仿宋_GB2312" w:hAnsi="仿宋_GB2312" w:eastAsia="仿宋_GB2312" w:cs="仿宋_GB2312"/>
          <w:b w:val="0"/>
          <w:bCs w:val="0"/>
          <w:color w:val="000000"/>
          <w:kern w:val="2"/>
          <w:sz w:val="24"/>
          <w:szCs w:val="24"/>
          <w:lang w:val="en-US" w:eastAsia="zh-CN" w:bidi="ar-SA"/>
        </w:rPr>
        <w:t>及</w:t>
      </w:r>
      <w:r>
        <w:rPr>
          <w:rFonts w:hint="eastAsia" w:ascii="仿宋_GB2312" w:hAnsi="仿宋_GB2312" w:eastAsia="仿宋_GB2312" w:cs="仿宋_GB2312"/>
          <w:b w:val="0"/>
          <w:bCs w:val="0"/>
          <w:color w:val="000000"/>
          <w:kern w:val="2"/>
          <w:sz w:val="24"/>
          <w:szCs w:val="24"/>
          <w:lang w:val="zh-TW" w:eastAsia="zh-TW" w:bidi="ar-SA"/>
        </w:rPr>
        <w:t>其它为完成本项目所需的一切费用。</w:t>
      </w:r>
    </w:p>
    <w:p w14:paraId="528BBDB9">
      <w:pPr>
        <w:keepNext w:val="0"/>
        <w:keepLines w:val="0"/>
        <w:pageBreakBefore w:val="0"/>
        <w:numPr>
          <w:ilvl w:val="0"/>
          <w:numId w:val="0"/>
        </w:numPr>
        <w:kinsoku/>
        <w:wordWrap/>
        <w:overflowPunct/>
        <w:topLinePunct w:val="0"/>
        <w:autoSpaceDE w:val="0"/>
        <w:autoSpaceDN w:val="0"/>
        <w:bidi w:val="0"/>
        <w:adjustRightInd/>
        <w:snapToGrid/>
        <w:spacing w:beforeAutospacing="0" w:afterAutospacing="0" w:line="576"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投标人的报价必须包括以上所有一切费用，采购人不再支付合同总价之外的其他费用。</w:t>
      </w:r>
    </w:p>
    <w:p w14:paraId="67FC78CA">
      <w:pPr>
        <w:keepNext w:val="0"/>
        <w:keepLines w:val="0"/>
        <w:pageBreakBefore w:val="0"/>
        <w:numPr>
          <w:ilvl w:val="0"/>
          <w:numId w:val="0"/>
        </w:numPr>
        <w:kinsoku/>
        <w:wordWrap/>
        <w:overflowPunct/>
        <w:topLinePunct w:val="0"/>
        <w:autoSpaceDE w:val="0"/>
        <w:autoSpaceDN w:val="0"/>
        <w:bidi w:val="0"/>
        <w:adjustRightInd/>
        <w:snapToGrid/>
        <w:spacing w:beforeAutospacing="0" w:afterAutospacing="0" w:line="576"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zh-TW" w:eastAsia="zh-TW" w:bidi="ar-SA"/>
        </w:rPr>
      </w:pPr>
      <w:r>
        <w:rPr>
          <w:rFonts w:hint="eastAsia" w:ascii="仿宋_GB2312" w:hAnsi="仿宋_GB2312" w:eastAsia="仿宋_GB2312" w:cs="仿宋_GB2312"/>
          <w:b w:val="0"/>
          <w:bCs w:val="0"/>
          <w:color w:val="000000"/>
          <w:kern w:val="2"/>
          <w:sz w:val="24"/>
          <w:szCs w:val="24"/>
          <w:lang w:val="en-US" w:eastAsia="zh-CN" w:bidi="ar-SA"/>
        </w:rPr>
        <w:t>二、</w:t>
      </w:r>
      <w:r>
        <w:rPr>
          <w:rFonts w:hint="eastAsia" w:ascii="仿宋_GB2312" w:hAnsi="仿宋_GB2312" w:eastAsia="仿宋_GB2312" w:cs="仿宋_GB2312"/>
          <w:b w:val="0"/>
          <w:bCs w:val="0"/>
          <w:color w:val="000000"/>
          <w:kern w:val="2"/>
          <w:sz w:val="24"/>
          <w:szCs w:val="24"/>
          <w:lang w:val="zh-TW" w:eastAsia="zh-TW" w:bidi="ar-SA"/>
        </w:rPr>
        <w:t>委托管理服务</w:t>
      </w:r>
      <w:r>
        <w:rPr>
          <w:rFonts w:hint="eastAsia" w:ascii="仿宋_GB2312" w:hAnsi="仿宋_GB2312" w:eastAsia="仿宋_GB2312" w:cs="仿宋_GB2312"/>
          <w:b w:val="0"/>
          <w:bCs w:val="0"/>
          <w:color w:val="auto"/>
          <w:kern w:val="2"/>
          <w:sz w:val="24"/>
          <w:szCs w:val="24"/>
          <w:lang w:val="zh-TW" w:eastAsia="zh-TW" w:bidi="ar-SA"/>
        </w:rPr>
        <w:t>费按</w:t>
      </w:r>
      <w:r>
        <w:rPr>
          <w:rFonts w:hint="eastAsia" w:ascii="仿宋_GB2312" w:hAnsi="仿宋_GB2312" w:eastAsia="仿宋_GB2312" w:cs="仿宋_GB2312"/>
          <w:b w:val="0"/>
          <w:bCs w:val="0"/>
          <w:color w:val="auto"/>
          <w:kern w:val="2"/>
          <w:sz w:val="24"/>
          <w:szCs w:val="24"/>
          <w:lang w:val="zh-TW" w:eastAsia="zh-CN" w:bidi="ar-SA"/>
        </w:rPr>
        <w:t>季度</w:t>
      </w:r>
      <w:r>
        <w:rPr>
          <w:rFonts w:hint="eastAsia" w:ascii="仿宋_GB2312" w:hAnsi="仿宋_GB2312" w:eastAsia="仿宋_GB2312" w:cs="仿宋_GB2312"/>
          <w:b w:val="0"/>
          <w:bCs w:val="0"/>
          <w:color w:val="auto"/>
          <w:kern w:val="2"/>
          <w:sz w:val="24"/>
          <w:szCs w:val="24"/>
          <w:lang w:val="zh-TW" w:eastAsia="zh-TW" w:bidi="ar-SA"/>
        </w:rPr>
        <w:t>支付</w:t>
      </w:r>
      <w:r>
        <w:rPr>
          <w:rFonts w:hint="eastAsia" w:ascii="仿宋_GB2312" w:hAnsi="仿宋_GB2312" w:eastAsia="仿宋_GB2312" w:cs="仿宋_GB2312"/>
          <w:b w:val="0"/>
          <w:bCs w:val="0"/>
          <w:color w:val="000000"/>
          <w:kern w:val="2"/>
          <w:sz w:val="24"/>
          <w:szCs w:val="24"/>
          <w:lang w:val="zh-TW" w:eastAsia="zh-TW" w:bidi="ar-SA"/>
        </w:rPr>
        <w:t>。在服务期内，甲方支付给乙方的管理服务费为</w:t>
      </w:r>
      <w:r>
        <w:rPr>
          <w:rFonts w:hint="eastAsia" w:ascii="仿宋_GB2312" w:hAnsi="仿宋_GB2312" w:eastAsia="仿宋_GB2312" w:cs="仿宋_GB2312"/>
          <w:b w:val="0"/>
          <w:bCs w:val="0"/>
          <w:color w:val="000000"/>
          <w:kern w:val="2"/>
          <w:sz w:val="24"/>
          <w:szCs w:val="24"/>
          <w:lang w:val="zh-TW" w:eastAsia="zh-CN" w:bidi="ar-SA"/>
        </w:rPr>
        <w:t>上季度实际费用</w:t>
      </w:r>
      <w:r>
        <w:rPr>
          <w:rFonts w:hint="eastAsia" w:ascii="仿宋_GB2312" w:hAnsi="仿宋_GB2312" w:eastAsia="仿宋_GB2312" w:cs="仿宋_GB2312"/>
          <w:b w:val="0"/>
          <w:bCs w:val="0"/>
          <w:color w:val="000000"/>
          <w:kern w:val="2"/>
          <w:sz w:val="24"/>
          <w:szCs w:val="24"/>
          <w:lang w:val="zh-TW" w:eastAsia="zh-TW" w:bidi="ar-SA"/>
        </w:rPr>
        <w:t>。此费用甲方分</w:t>
      </w:r>
      <w:r>
        <w:rPr>
          <w:rFonts w:hint="eastAsia" w:ascii="仿宋_GB2312" w:hAnsi="仿宋_GB2312" w:eastAsia="仿宋_GB2312" w:cs="仿宋_GB2312"/>
          <w:b w:val="0"/>
          <w:bCs w:val="0"/>
          <w:color w:val="000000"/>
          <w:kern w:val="2"/>
          <w:sz w:val="24"/>
          <w:szCs w:val="24"/>
          <w:lang w:val="en-US" w:eastAsia="zh-CN" w:bidi="ar-SA"/>
        </w:rPr>
        <w:t>4</w:t>
      </w:r>
      <w:r>
        <w:rPr>
          <w:rFonts w:hint="eastAsia" w:ascii="仿宋_GB2312" w:hAnsi="仿宋_GB2312" w:eastAsia="仿宋_GB2312" w:cs="仿宋_GB2312"/>
          <w:b w:val="0"/>
          <w:bCs w:val="0"/>
          <w:color w:val="000000"/>
          <w:kern w:val="2"/>
          <w:sz w:val="24"/>
          <w:szCs w:val="24"/>
          <w:lang w:val="zh-TW" w:eastAsia="zh-TW" w:bidi="ar-SA"/>
        </w:rPr>
        <w:t>次支付</w:t>
      </w:r>
      <w:r>
        <w:rPr>
          <w:rFonts w:hint="eastAsia" w:ascii="仿宋_GB2312" w:hAnsi="仿宋_GB2312" w:eastAsia="仿宋_GB2312" w:cs="仿宋_GB2312"/>
          <w:b w:val="0"/>
          <w:bCs w:val="0"/>
          <w:color w:val="000000"/>
          <w:kern w:val="2"/>
          <w:sz w:val="24"/>
          <w:szCs w:val="24"/>
          <w:lang w:val="zh-TW" w:eastAsia="zh-CN" w:bidi="ar-SA"/>
        </w:rPr>
        <w:t>，</w:t>
      </w:r>
      <w:r>
        <w:rPr>
          <w:rFonts w:hint="eastAsia" w:ascii="仿宋_GB2312" w:hAnsi="仿宋_GB2312" w:eastAsia="仿宋_GB2312" w:cs="仿宋_GB2312"/>
          <w:b w:val="0"/>
          <w:bCs w:val="0"/>
          <w:color w:val="000000"/>
          <w:kern w:val="2"/>
          <w:sz w:val="24"/>
          <w:szCs w:val="24"/>
          <w:lang w:val="zh-TW" w:eastAsia="zh-TW" w:bidi="ar-SA"/>
        </w:rPr>
        <w:t>每</w:t>
      </w:r>
      <w:r>
        <w:rPr>
          <w:rFonts w:hint="eastAsia" w:ascii="仿宋_GB2312" w:hAnsi="仿宋_GB2312" w:eastAsia="仿宋_GB2312" w:cs="仿宋_GB2312"/>
          <w:b w:val="0"/>
          <w:bCs w:val="0"/>
          <w:color w:val="000000"/>
          <w:kern w:val="2"/>
          <w:sz w:val="24"/>
          <w:szCs w:val="24"/>
          <w:lang w:val="zh-TW" w:eastAsia="zh-CN" w:bidi="ar-SA"/>
        </w:rPr>
        <w:t>季度</w:t>
      </w:r>
      <w:r>
        <w:rPr>
          <w:rFonts w:hint="eastAsia" w:ascii="仿宋_GB2312" w:hAnsi="仿宋_GB2312" w:eastAsia="仿宋_GB2312" w:cs="仿宋_GB2312"/>
          <w:b w:val="0"/>
          <w:bCs w:val="0"/>
          <w:color w:val="000000"/>
          <w:kern w:val="2"/>
          <w:sz w:val="24"/>
          <w:szCs w:val="24"/>
          <w:lang w:val="zh-TW" w:eastAsia="zh-TW" w:bidi="ar-SA"/>
        </w:rPr>
        <w:t>支付一次</w:t>
      </w:r>
      <w:r>
        <w:rPr>
          <w:rFonts w:hint="eastAsia" w:ascii="仿宋_GB2312" w:hAnsi="仿宋_GB2312" w:eastAsia="仿宋_GB2312" w:cs="仿宋_GB2312"/>
          <w:b w:val="0"/>
          <w:bCs w:val="0"/>
          <w:color w:val="auto"/>
          <w:kern w:val="2"/>
          <w:sz w:val="24"/>
          <w:szCs w:val="24"/>
          <w:lang w:val="zh-TW" w:eastAsia="zh-CN" w:bidi="ar-SA"/>
        </w:rPr>
        <w:t>（注：每季度支付上季度实际费用）</w:t>
      </w:r>
      <w:r>
        <w:rPr>
          <w:rFonts w:hint="eastAsia" w:ascii="仿宋_GB2312" w:hAnsi="仿宋_GB2312" w:eastAsia="仿宋_GB2312" w:cs="仿宋_GB2312"/>
          <w:b w:val="0"/>
          <w:bCs w:val="0"/>
          <w:color w:val="auto"/>
          <w:kern w:val="2"/>
          <w:sz w:val="24"/>
          <w:szCs w:val="24"/>
          <w:lang w:val="zh-TW" w:eastAsia="zh-TW" w:bidi="ar-SA"/>
        </w:rPr>
        <w:t>，甲方收到乙方</w:t>
      </w:r>
      <w:r>
        <w:rPr>
          <w:rFonts w:hint="eastAsia" w:ascii="仿宋_GB2312" w:hAnsi="仿宋_GB2312" w:eastAsia="仿宋_GB2312" w:cs="仿宋_GB2312"/>
          <w:b w:val="0"/>
          <w:bCs w:val="0"/>
          <w:color w:val="000000"/>
          <w:kern w:val="2"/>
          <w:sz w:val="24"/>
          <w:szCs w:val="24"/>
          <w:lang w:val="zh-TW" w:eastAsia="zh-TW" w:bidi="ar-SA"/>
        </w:rPr>
        <w:t>等额的正式税票</w:t>
      </w:r>
      <w:r>
        <w:rPr>
          <w:rFonts w:hint="eastAsia" w:ascii="仿宋_GB2312" w:hAnsi="仿宋_GB2312" w:eastAsia="仿宋_GB2312" w:cs="仿宋_GB2312"/>
          <w:b w:val="0"/>
          <w:bCs w:val="0"/>
          <w:color w:val="000000"/>
          <w:kern w:val="2"/>
          <w:sz w:val="24"/>
          <w:szCs w:val="24"/>
          <w:lang w:val="zh-TW" w:eastAsia="zh-CN" w:bidi="ar-SA"/>
        </w:rPr>
        <w:t>后</w:t>
      </w:r>
      <w:r>
        <w:rPr>
          <w:rFonts w:hint="eastAsia" w:ascii="仿宋_GB2312" w:hAnsi="仿宋_GB2312" w:eastAsia="仿宋_GB2312" w:cs="仿宋_GB2312"/>
          <w:b w:val="0"/>
          <w:bCs w:val="0"/>
          <w:color w:val="000000"/>
          <w:kern w:val="2"/>
          <w:sz w:val="24"/>
          <w:szCs w:val="24"/>
          <w:lang w:val="zh-TW" w:eastAsia="zh-TW" w:bidi="ar-SA"/>
        </w:rPr>
        <w:t>在</w:t>
      </w:r>
      <w:r>
        <w:rPr>
          <w:rFonts w:hint="eastAsia" w:ascii="仿宋_GB2312" w:hAnsi="仿宋_GB2312" w:eastAsia="仿宋_GB2312" w:cs="仿宋_GB2312"/>
          <w:b w:val="0"/>
          <w:bCs w:val="0"/>
          <w:color w:val="000000"/>
          <w:kern w:val="2"/>
          <w:sz w:val="24"/>
          <w:szCs w:val="24"/>
          <w:lang w:val="zh-TW" w:eastAsia="zh-CN" w:bidi="ar-SA"/>
        </w:rPr>
        <w:t>10</w:t>
      </w:r>
      <w:r>
        <w:rPr>
          <w:rFonts w:hint="eastAsia" w:ascii="仿宋_GB2312" w:hAnsi="仿宋_GB2312" w:eastAsia="仿宋_GB2312" w:cs="仿宋_GB2312"/>
          <w:b w:val="0"/>
          <w:bCs w:val="0"/>
          <w:color w:val="000000"/>
          <w:kern w:val="2"/>
          <w:sz w:val="24"/>
          <w:szCs w:val="24"/>
          <w:lang w:val="zh-TW" w:eastAsia="zh-TW" w:bidi="ar-SA"/>
        </w:rPr>
        <w:t>个工作日内支付。（如遇考核不合格则按考核后的实际金额支付</w:t>
      </w:r>
      <w:r>
        <w:rPr>
          <w:rFonts w:hint="eastAsia" w:ascii="仿宋_GB2312" w:hAnsi="仿宋_GB2312" w:eastAsia="仿宋_GB2312" w:cs="仿宋_GB2312"/>
          <w:b w:val="0"/>
          <w:bCs w:val="0"/>
          <w:color w:val="000000"/>
          <w:kern w:val="2"/>
          <w:sz w:val="24"/>
          <w:szCs w:val="24"/>
          <w:lang w:val="zh-TW" w:eastAsia="zh-CN" w:bidi="ar-SA"/>
        </w:rPr>
        <w:t>）。</w:t>
      </w:r>
      <w:r>
        <w:rPr>
          <w:rFonts w:hint="eastAsia" w:ascii="仿宋_GB2312" w:hAnsi="仿宋_GB2312" w:eastAsia="仿宋_GB2312" w:cs="仿宋_GB2312"/>
          <w:b w:val="0"/>
          <w:bCs w:val="0"/>
          <w:color w:val="000000"/>
          <w:kern w:val="2"/>
          <w:sz w:val="24"/>
          <w:szCs w:val="24"/>
          <w:lang w:val="zh-TW" w:eastAsia="zh-TW" w:bidi="ar-SA"/>
        </w:rPr>
        <w:br w:type="textWrapping"/>
      </w:r>
      <w:r>
        <w:rPr>
          <w:rFonts w:hint="eastAsia" w:ascii="仿宋_GB2312" w:hAnsi="仿宋_GB2312" w:eastAsia="仿宋_GB2312" w:cs="仿宋_GB2312"/>
          <w:b w:val="0"/>
          <w:bCs w:val="0"/>
          <w:color w:val="000000"/>
          <w:kern w:val="2"/>
          <w:sz w:val="24"/>
          <w:szCs w:val="24"/>
          <w:lang w:val="en-US" w:eastAsia="zh-CN" w:bidi="ar-SA"/>
        </w:rPr>
        <w:t xml:space="preserve">    三</w:t>
      </w:r>
      <w:r>
        <w:rPr>
          <w:rFonts w:hint="eastAsia" w:ascii="仿宋_GB2312" w:hAnsi="仿宋_GB2312" w:eastAsia="仿宋_GB2312" w:cs="仿宋_GB2312"/>
          <w:b w:val="0"/>
          <w:bCs w:val="0"/>
          <w:color w:val="000000"/>
          <w:kern w:val="2"/>
          <w:sz w:val="24"/>
          <w:szCs w:val="24"/>
          <w:lang w:val="zh-TW" w:eastAsia="zh-TW" w:bidi="ar-SA"/>
        </w:rPr>
        <w:t>、服务期限:自签订合同生效之日起</w:t>
      </w:r>
      <w:r>
        <w:rPr>
          <w:rFonts w:hint="eastAsia" w:ascii="仿宋_GB2312" w:hAnsi="仿宋_GB2312" w:eastAsia="仿宋_GB2312" w:cs="仿宋_GB2312"/>
          <w:b w:val="0"/>
          <w:bCs w:val="0"/>
          <w:color w:val="000000"/>
          <w:kern w:val="2"/>
          <w:sz w:val="24"/>
          <w:szCs w:val="24"/>
          <w:lang w:val="en-US" w:eastAsia="zh-CN" w:bidi="ar-SA"/>
        </w:rPr>
        <w:t>3年</w:t>
      </w:r>
      <w:r>
        <w:rPr>
          <w:rFonts w:hint="eastAsia" w:ascii="仿宋_GB2312" w:hAnsi="仿宋_GB2312" w:eastAsia="仿宋_GB2312" w:cs="仿宋_GB2312"/>
          <w:b w:val="0"/>
          <w:bCs w:val="0"/>
          <w:color w:val="000000"/>
          <w:kern w:val="2"/>
          <w:sz w:val="24"/>
          <w:szCs w:val="24"/>
          <w:lang w:val="zh-TW" w:eastAsia="zh-TW" w:bidi="ar-SA"/>
        </w:rPr>
        <w:t>。(具体按合同约定的时间执行)</w:t>
      </w:r>
    </w:p>
    <w:p w14:paraId="2B908A06">
      <w:pPr>
        <w:keepNext w:val="0"/>
        <w:keepLines w:val="0"/>
        <w:pageBreakBefore w:val="0"/>
        <w:numPr>
          <w:ilvl w:val="0"/>
          <w:numId w:val="0"/>
        </w:numPr>
        <w:kinsoku/>
        <w:wordWrap/>
        <w:overflowPunct/>
        <w:topLinePunct w:val="0"/>
        <w:autoSpaceDE w:val="0"/>
        <w:autoSpaceDN w:val="0"/>
        <w:bidi w:val="0"/>
        <w:adjustRightInd/>
        <w:snapToGrid/>
        <w:spacing w:beforeAutospacing="0" w:afterAutospacing="0" w:line="576" w:lineRule="exact"/>
        <w:ind w:firstLine="480" w:firstLineChars="200"/>
        <w:jc w:val="left"/>
        <w:textAlignment w:val="auto"/>
        <w:rPr>
          <w:rFonts w:hint="eastAsia" w:ascii="仿宋_GB2312" w:hAnsi="仿宋_GB2312" w:eastAsia="仿宋_GB2312" w:cs="仿宋_GB2312"/>
          <w:b/>
          <w:bCs/>
          <w:i w:val="0"/>
          <w:iCs w:val="0"/>
          <w:caps w:val="0"/>
          <w:color w:val="333333"/>
          <w:spacing w:val="0"/>
          <w:sz w:val="24"/>
          <w:szCs w:val="24"/>
          <w:shd w:val="clear" w:fill="FFFFFF"/>
        </w:rPr>
      </w:pPr>
      <w:r>
        <w:rPr>
          <w:rFonts w:hint="eastAsia" w:ascii="仿宋_GB2312" w:hAnsi="仿宋_GB2312" w:eastAsia="仿宋_GB2312" w:cs="仿宋_GB2312"/>
          <w:b w:val="0"/>
          <w:bCs w:val="0"/>
          <w:color w:val="000000"/>
          <w:kern w:val="2"/>
          <w:sz w:val="24"/>
          <w:szCs w:val="24"/>
          <w:lang w:val="en-US" w:eastAsia="zh-CN" w:bidi="ar-SA"/>
        </w:rPr>
        <w:t>四</w:t>
      </w:r>
      <w:r>
        <w:rPr>
          <w:rFonts w:hint="eastAsia" w:ascii="仿宋_GB2312" w:hAnsi="仿宋_GB2312" w:eastAsia="仿宋_GB2312" w:cs="仿宋_GB2312"/>
          <w:b w:val="0"/>
          <w:bCs w:val="0"/>
          <w:color w:val="000000"/>
          <w:kern w:val="2"/>
          <w:sz w:val="24"/>
          <w:szCs w:val="24"/>
          <w:lang w:val="zh-TW" w:eastAsia="zh-TW" w:bidi="ar-SA"/>
        </w:rPr>
        <w:t>、服务地点:</w:t>
      </w:r>
      <w:r>
        <w:rPr>
          <w:rFonts w:hint="eastAsia" w:ascii="仿宋_GB2312" w:hAnsi="仿宋_GB2312" w:eastAsia="仿宋_GB2312" w:cs="仿宋_GB2312"/>
          <w:b w:val="0"/>
          <w:bCs w:val="0"/>
          <w:color w:val="000000"/>
          <w:kern w:val="2"/>
          <w:sz w:val="24"/>
          <w:szCs w:val="24"/>
          <w:lang w:val="en-US" w:eastAsia="zh-CN" w:bidi="ar-SA"/>
        </w:rPr>
        <w:t>上饶卫生健康职业学院</w:t>
      </w:r>
      <w:r>
        <w:rPr>
          <w:rFonts w:hint="eastAsia" w:ascii="仿宋_GB2312" w:hAnsi="仿宋_GB2312" w:eastAsia="仿宋_GB2312" w:cs="仿宋_GB2312"/>
          <w:b w:val="0"/>
          <w:bCs w:val="0"/>
          <w:color w:val="000000"/>
          <w:kern w:val="2"/>
          <w:sz w:val="24"/>
          <w:szCs w:val="24"/>
          <w:lang w:val="zh-TW" w:eastAsia="zh-TW" w:bidi="ar-SA"/>
        </w:rPr>
        <w:t>校区。</w:t>
      </w:r>
      <w:r>
        <w:rPr>
          <w:rFonts w:hint="eastAsia" w:ascii="仿宋_GB2312" w:hAnsi="仿宋_GB2312" w:eastAsia="仿宋_GB2312" w:cs="仿宋_GB2312"/>
          <w:b w:val="0"/>
          <w:bCs w:val="0"/>
          <w:color w:val="000000"/>
          <w:kern w:val="2"/>
          <w:sz w:val="24"/>
          <w:szCs w:val="24"/>
          <w:lang w:val="zh-TW" w:eastAsia="zh-TW" w:bidi="ar-SA"/>
        </w:rPr>
        <w:br w:type="textWrapping"/>
      </w:r>
      <w:r>
        <w:rPr>
          <w:rFonts w:hint="eastAsia" w:ascii="仿宋_GB2312" w:hAnsi="仿宋_GB2312" w:eastAsia="仿宋_GB2312" w:cs="仿宋_GB2312"/>
          <w:b/>
          <w:bCs/>
          <w:i w:val="0"/>
          <w:iCs w:val="0"/>
          <w:caps w:val="0"/>
          <w:color w:val="333333"/>
          <w:spacing w:val="0"/>
          <w:sz w:val="24"/>
          <w:szCs w:val="24"/>
          <w:shd w:val="clear" w:fill="FFFFFF"/>
        </w:rPr>
        <w:t>本项目的特定资格要求：具有保安服务资质证书。</w:t>
      </w:r>
    </w:p>
    <w:p w14:paraId="4CBEEA9B">
      <w:pPr>
        <w:keepNext w:val="0"/>
        <w:keepLines w:val="0"/>
        <w:pageBreakBefore w:val="0"/>
        <w:numPr>
          <w:ilvl w:val="0"/>
          <w:numId w:val="0"/>
        </w:numPr>
        <w:kinsoku/>
        <w:wordWrap/>
        <w:overflowPunct/>
        <w:topLinePunct w:val="0"/>
        <w:autoSpaceDE w:val="0"/>
        <w:autoSpaceDN w:val="0"/>
        <w:bidi w:val="0"/>
        <w:adjustRightInd/>
        <w:snapToGrid/>
        <w:spacing w:beforeAutospacing="0" w:afterAutospacing="0" w:line="576" w:lineRule="exact"/>
        <w:ind w:firstLine="482" w:firstLineChars="200"/>
        <w:jc w:val="left"/>
        <w:textAlignment w:val="auto"/>
        <w:rPr>
          <w:rFonts w:hint="eastAsia" w:ascii="仿宋_GB2312" w:hAnsi="仿宋_GB2312" w:eastAsia="仿宋_GB2312" w:cs="仿宋_GB2312"/>
          <w:b/>
          <w:bCs/>
          <w:i w:val="0"/>
          <w:iCs w:val="0"/>
          <w:caps w:val="0"/>
          <w:color w:val="333333"/>
          <w:spacing w:val="0"/>
          <w:sz w:val="24"/>
          <w:szCs w:val="24"/>
          <w:shd w:val="clear" w:fill="FFFFFF"/>
        </w:rPr>
      </w:pPr>
    </w:p>
    <w:p w14:paraId="45F34B01">
      <w:pPr>
        <w:keepNext w:val="0"/>
        <w:keepLines w:val="0"/>
        <w:pageBreakBefore w:val="0"/>
        <w:numPr>
          <w:ilvl w:val="0"/>
          <w:numId w:val="0"/>
        </w:numPr>
        <w:kinsoku/>
        <w:wordWrap/>
        <w:overflowPunct/>
        <w:topLinePunct w:val="0"/>
        <w:autoSpaceDE w:val="0"/>
        <w:autoSpaceDN w:val="0"/>
        <w:bidi w:val="0"/>
        <w:adjustRightInd/>
        <w:snapToGrid/>
        <w:spacing w:beforeAutospacing="0" w:afterAutospacing="0" w:line="576" w:lineRule="exact"/>
        <w:ind w:firstLine="482" w:firstLineChars="200"/>
        <w:jc w:val="left"/>
        <w:textAlignment w:val="auto"/>
        <w:rPr>
          <w:rFonts w:hint="eastAsia" w:ascii="仿宋_GB2312" w:hAnsi="仿宋_GB2312" w:eastAsia="仿宋_GB2312" w:cs="仿宋_GB2312"/>
          <w:b/>
          <w:bCs/>
          <w:i w:val="0"/>
          <w:iCs w:val="0"/>
          <w:caps w:val="0"/>
          <w:color w:val="333333"/>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jNjRjNGNiMjU5NmRiYzE4Y2U1ODg0NmEyYjE2NGYifQ=="/>
    <w:docVar w:name="KSO_WPS_MARK_KEY" w:val="ae35ae91-99f0-43c5-9edd-4d4df73a1dc1"/>
  </w:docVars>
  <w:rsids>
    <w:rsidRoot w:val="00000000"/>
    <w:rsid w:val="20D13DDD"/>
    <w:rsid w:val="36BF0296"/>
    <w:rsid w:val="3EDB1743"/>
    <w:rsid w:val="4B9F02B7"/>
    <w:rsid w:val="52FF33C4"/>
    <w:rsid w:val="5C653538"/>
    <w:rsid w:val="69F67610"/>
    <w:rsid w:val="7BDB1A9E"/>
    <w:rsid w:val="7CFF04ED"/>
    <w:rsid w:val="7F969FC2"/>
    <w:rsid w:val="7FFB182D"/>
    <w:rsid w:val="CB77413D"/>
    <w:rsid w:val="D15FD82F"/>
    <w:rsid w:val="DB18586B"/>
    <w:rsid w:val="DFDC4064"/>
    <w:rsid w:val="EDDC212B"/>
    <w:rsid w:val="EDFF1EA1"/>
    <w:rsid w:val="F3EF5BE6"/>
    <w:rsid w:val="F7FDFA3E"/>
    <w:rsid w:val="FAA7D62F"/>
    <w:rsid w:val="FEDF3CCE"/>
    <w:rsid w:val="FEFA2C11"/>
    <w:rsid w:val="FF63C83E"/>
    <w:rsid w:val="FFBF67FC"/>
    <w:rsid w:val="FFF6F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rPr>
      <w:rFonts w:hint="eastAsia"/>
      <w:sz w:val="24"/>
    </w:rPr>
  </w:style>
  <w:style w:type="paragraph" w:styleId="4">
    <w:name w:val="annotation text"/>
    <w:basedOn w:val="1"/>
    <w:qFormat/>
    <w:uiPriority w:val="99"/>
    <w:pPr>
      <w:jc w:val="left"/>
    </w:pPr>
  </w:style>
  <w:style w:type="paragraph" w:styleId="5">
    <w:name w:val="Body Text"/>
    <w:basedOn w:val="1"/>
    <w:next w:val="1"/>
    <w:qFormat/>
    <w:uiPriority w:val="0"/>
    <w:pPr>
      <w:spacing w:after="120" w:afterLines="0"/>
    </w:pPr>
  </w:style>
  <w:style w:type="paragraph" w:styleId="6">
    <w:name w:val="Body Text Indent"/>
    <w:basedOn w:val="1"/>
    <w:qFormat/>
    <w:uiPriority w:val="0"/>
    <w:pPr>
      <w:autoSpaceDE w:val="0"/>
      <w:autoSpaceDN w:val="0"/>
      <w:adjustRightInd w:val="0"/>
      <w:spacing w:line="360" w:lineRule="auto"/>
      <w:ind w:firstLine="480"/>
      <w:jc w:val="left"/>
    </w:pPr>
    <w:rPr>
      <w:rFonts w:ascii="宋体" w:hAnsi="宋体"/>
      <w:kern w:val="0"/>
      <w:sz w:val="24"/>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sz w:val="24"/>
      <w:szCs w:val="24"/>
    </w:rPr>
  </w:style>
  <w:style w:type="paragraph" w:styleId="8">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9">
    <w:name w:val="Body Text First Indent 2"/>
    <w:basedOn w:val="6"/>
    <w:next w:val="1"/>
    <w:qFormat/>
    <w:uiPriority w:val="0"/>
    <w:pPr>
      <w:autoSpaceDE/>
      <w:autoSpaceDN/>
      <w:adjustRightInd/>
      <w:spacing w:after="120" w:afterLines="0" w:line="240" w:lineRule="auto"/>
      <w:ind w:left="420" w:leftChars="200" w:firstLine="420" w:firstLineChars="200"/>
      <w:jc w:val="both"/>
    </w:pPr>
    <w:rPr>
      <w:rFonts w:ascii="Times New Roman" w:hAnsi="Times New Roman"/>
      <w:kern w:val="2"/>
      <w:sz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列出段落1"/>
    <w:basedOn w:val="1"/>
    <w:qFormat/>
    <w:uiPriority w:val="34"/>
    <w:pPr>
      <w:ind w:firstLine="420" w:firstLineChars="200"/>
    </w:pPr>
  </w:style>
  <w:style w:type="paragraph" w:customStyle="1" w:styleId="15">
    <w:name w:val="Table Paragraph"/>
    <w:basedOn w:val="1"/>
    <w:qFormat/>
    <w:uiPriority w:val="1"/>
  </w:style>
  <w:style w:type="table" w:customStyle="1" w:styleId="16">
    <w:name w:val="Table Normal"/>
    <w:unhideWhenUsed/>
    <w:qFormat/>
    <w:uiPriority w:val="0"/>
    <w:tblPr>
      <w:tblCellMar>
        <w:top w:w="0" w:type="dxa"/>
        <w:left w:w="0" w:type="dxa"/>
        <w:bottom w:w="0" w:type="dxa"/>
        <w:right w:w="0" w:type="dxa"/>
      </w:tblCellMar>
    </w:tblPr>
  </w:style>
  <w:style w:type="paragraph" w:customStyle="1" w:styleId="17">
    <w:name w:val="表格文字"/>
    <w:basedOn w:val="1"/>
    <w:qFormat/>
    <w:uiPriority w:val="0"/>
    <w:pPr>
      <w:spacing w:before="25" w:after="25"/>
    </w:pPr>
    <w:rPr>
      <w:bCs/>
      <w:spacing w:val="1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8695</Words>
  <Characters>9221</Characters>
  <Lines>0</Lines>
  <Paragraphs>0</Paragraphs>
  <TotalTime>10</TotalTime>
  <ScaleCrop>false</ScaleCrop>
  <LinksUpToDate>false</LinksUpToDate>
  <CharactersWithSpaces>9249</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2025-03-07T00:14:00Z</dcterms:created>
  <dc:creator>张军</dc:creator>
  <cp:lastModifiedBy>张军</cp:lastModifiedBy>
  <cp:lastPrinted>2025-03-07T00:58:00Z</cp:lastPrinted>
  <dcterms:modified xsi:type="dcterms:W3CDTF">2025-03-14T14:28:09Z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A75D1EB9EF264C63AB07F42DC441D958_13</vt:lpwstr>
  </property>
  <property fmtid="{D5CDD505-2E9C-101B-9397-08002B2CF9AE}" pid="4" name="KSOTemplateDocerSaveRecord">
    <vt:lpwstr>eyJoZGlkIjoiMGJmNWQ4MmYyOThiM2IyMDQ5NDZkNDhiMTNiY2UyMjQiLCJ1c2VySWQiOiI0MTk2MzU3MDAifQ==</vt:lpwstr>
  </property>
</Properties>
</file>