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附表四</w:t>
      </w:r>
    </w:p>
    <w:tbl>
      <w:tblPr>
        <w:tblStyle w:val="2"/>
        <w:tblW w:w="494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7"/>
        <w:gridCol w:w="398"/>
        <w:gridCol w:w="636"/>
        <w:gridCol w:w="900"/>
        <w:gridCol w:w="581"/>
        <w:gridCol w:w="430"/>
        <w:gridCol w:w="49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7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序号</w:t>
            </w:r>
          </w:p>
        </w:tc>
        <w:tc>
          <w:tcPr>
            <w:tcW w:w="2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实训室</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房间号</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产品名称</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数量</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单位</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236" w:type="pct"/>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lang w:val="en-US" w:eastAsia="zh-CN"/>
              </w:rPr>
            </w:pPr>
            <w:r>
              <w:rPr>
                <w:rFonts w:hint="eastAsia" w:ascii="仿宋_GB2312" w:hAnsi="仿宋_GB2312" w:eastAsia="仿宋_GB2312" w:cs="仿宋_GB2312"/>
                <w:b w:val="0"/>
                <w:bCs w:val="0"/>
                <w:i w:val="0"/>
                <w:iCs w:val="0"/>
                <w:color w:val="000000"/>
                <w:sz w:val="21"/>
                <w:szCs w:val="21"/>
                <w:u w:val="none"/>
                <w:lang w:val="en-US" w:eastAsia="zh-CN"/>
              </w:rPr>
              <w:t>C311</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PT床</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5</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张</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外形尺寸（长×宽×高）：</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190 ㎝ ×123 ㎝×48 ㎝（允许偏差±2cm）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床面高度：48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床面额定承载 :≥ 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PT椅</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把</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外形尺寸（直径×高）：</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Φ60cm×（42～53）cm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带液压油缸，360 °旋转</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额定承载：≥2000N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PT垫</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张</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外形尺寸/cm：180×120×5（允许偏差±2cm）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功能 适用于各种垫上运动，包括关节活动度、坐位平衡、卧位体操及卧位肌力训练。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握力计</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个</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主要技术指标和参数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1）测量范围：0～99.9kg；</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2）分 度 值：0.1kg；</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3）示值误差：1%F.S；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 电    源：一节 9V 叠式电池（自备）；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5）工作环境：0～40℃ , &lt;90%RH；</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6）贮存温度：-10℃~50℃ , &lt;75%RH；</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7）外形尺寸（长×宽×高）为 240 ㎜×140 ㎜×50 ㎜（允许偏差±5cm）。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平衡功能评定与训练系统</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评估和分析下肢前后、左右的平衡状况和功能。病人能够站立（无论是有帮助站立还是 无帮助站立），均可用足板在直站位检测下肢前后、左右的平衡状况和功能。另外本系 统独有的站立位双轴系统可检测一侧下肢前后、左右的平衡状况，提高检测的敏感性， 更适用于运动员群体及矫形术后群体的检测和训练。</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评估分析上肢的精细活动功能。本系统独创的手稳定检测装置可检测和评估上肢精细动 作功能，评定作业治疗效果。</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评估和分析坐位平衡功能。当病人在病程的某一阶段无法站立，仅能在有帮助或无帮助 下保持坐位时，可采用坐位平衡系统评估和分析坐位平衡功能，评估治疗效果。</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评估和分析机体静态或等长收缩重力的力学特征。</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规格：</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操作台 128×68×122 cm（允许偏差±5cm）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站立架 102×85×114 cm（允许偏差±5cm） ,</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坐椅ф45×5 0cm（允许偏差±2cm）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椅子ф43×69-78 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配置 :</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1、不低于：双核处理器,2G 内存,内置网卡,250G 硬盘。</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 xml:space="preserve">2. </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17 英寸液晶显示器</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3. 彩色喷墨打印机 1台</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4.专用电脑桌一张,豪华 PT 凳 1 张</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5.平衡功能检测显示单元 1 套</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6.直立位检测显示单元 1 套</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7.直座位检测显示单元 1 套</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8.手触式检测显示单元 1 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9.扶手架 1 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模拟楼梯</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1、扶梯由一面四阶梯、一面五阶梯和中间的平台组成。钢制扶手，扶手高度可调节 2、材质：优质实木板材（多层实木）、优质钢材、管材、不锈钢</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三、主要技术指标和参数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1、外形尺寸（长×宽×高）：337×81.5×（125-157）cm,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2、五步阶梯相邻阶梯高度：10.6cm,四部相邻阶梯高度：11.6cm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3、扶手杠调节范围 0～32cm,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4、扶手杠侧向额定载荷 ≥70kg，阶梯额定载荷 ≥135kg。</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5、主要材质规格：方管 20*20*1.5mm；冷板 5mm；不锈钢圆管φ32*1.2mm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6、各台阶底面采用加宽不锈钢防滑片，宽度 30mm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7、高度范围：125-157cm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认知评定及训练系统</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一、、产品用途</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认知能力测试与训练系统适用于脑损伤疾病所致的智力低下、记忆障碍以及认知障碍人 群的认知功能评估与康复训练。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二、软件模块功能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1）系统介绍</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2）病历管理</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3）筛查评估：分为甄别试和等级试测试，包含定向能力、注意能力、语言能力、执行 能力、记忆能力、计算能力、日常知识、推理能力 8 个方面，其中，语言能力又包括表 达、听理解、视理解和命名四个方面。</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4）康复训练：康复训练与筛查评估有机地结合，对每个患者的每项评估，通过康复建  议实现康复个体化，实用性更强，做到为每个患者度身订制的康复训练方案。设计了与  评估相匹配的七种能力康复训练，每一种能力的训练分为初级、中级和高级三个难度等  级，根据个人的语言及文化的差异将每个难度梯度又分成了更细的训练内容：结构组织  能力（空间理解、空间综合、方位判断）、定向能力（时间定向、地点定向、人物定向）、 专注能力（视觉专注、听觉专注、连线游戏）、语言能力（复述、命名、判断、理解、 阅读、组句、选择、匹配）、记忆能力（形象记忆、逻辑记忆、运动记忆）、计算能力  （直接运算、间接运算、创造性运算）、推理能力（次序推理、图像推理、事件推理） 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三、产品组成</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包括硬件和软件两大部份，硬件部分由 ABS 工作台、计算机、显示器、打印机、麦克风、 鼠标、音箱、工作台和通讯电缆线、加密狗组成。</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四、正常工作条件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 环境温度：+10 ℃~+35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 相对湿度：35%～75%；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 大气压力 : 860 hPa～1060 hPa；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 电源电压：AC220 V±22 V，电源频率：50 Hz±1 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 软件运行平台：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a) 兼容机；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b) CPU：I3 九代或以上；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c) 内存：8 GB 或以上；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d) 硬盘：256 GB 或以上；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e）显卡：高清核显或以上；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f）声卡：立体声卡或以上；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g) 操作系统：Windows 7 及以上；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6）ABS 工作台外形尺寸：1600mm×800mm×1000mm（允许偏差±10cm）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铝合金肢体关节活动量角器</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包括：肢体角度尺 3、脊椎角度尺、手指角度尺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9</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姿势矫正镜</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面</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外形尺寸/cm ：85×67×190（允许偏差±5cm）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防褥疮翻身垫</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张</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产品参数：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1、嗓音： ≤45db</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2、面料：加厚医用 PVC</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3、便孔：无</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4、产品特点：睡眠气泵、条形波动、软硬可调、气条可单独拆分</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5、适用于：家用床、土炕、医院病床（木板床）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6、使用群体：长期卧床患者且无自理能力患者（带便孔，更方便）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23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物理因子治疗室</w:t>
            </w:r>
          </w:p>
        </w:tc>
        <w:tc>
          <w:tcPr>
            <w:tcW w:w="37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C310</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按摩床</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张</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外形尺寸/cm：190×60×60（允许偏差±5cm）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床面额定承载：</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不锈钢圆椅</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把</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宽：33-35cm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高度 42-56cm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13</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直流感应电治疗仪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4</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主要技术指标：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 直流输出：（负载阻抗 500Ω+10%） 电流 0～50mA，分强、弱二档，连续可调 2. 感应输出：为单向脉冲波，输出电压分强、弱二档，连续可调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 定时时间：分 10、15、20、25、30、40、50、60min 八档，允差±10% 4. 使用电源：a.c.220V, 50Hz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 输入功率：20VA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 工 作 制：连续工作 4h</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 使用环境：环境温度为 5℃~40℃ , 相对湿度≤80%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配置清单：</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 棒状电极φ30mm  1 对</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 翻边 40mm×40mm 导电硅橡胶电极  2 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 厚度 0.3mm 铅板（供用户自行定尺寸） 3 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 带夹输出线 1 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 带插针输出线 1 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 电源线 1 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7. 测量电阻 1 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4"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14</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中频电治疗仪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1、产品结构形式：台面款式，小巧便捷；</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2、输出通道：双通道配置；两路可独立控制，同时治疗两位患者/或者两个部位；亦可 组合使用，形成 1 组平面干扰治疗。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3、操控方式：数码管+按键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4、内置不少于99种治疗处方，满足临床使用需求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5、输出电流强度：不超过 50mA(r.m.s)，分 99 档连续可调；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6、输出电流稳定度：不同负载下的输出电流变化率不大于 10%；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7、载波频率：载波频率 2kHz～10kHz，允差±10%；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8、载波波形：脉冲波</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9、载波脉宽：载波频率倒数的一半（50μs-250μs），允差±10μs。 10、调制波频率：0～150Hz，允差±10%；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11、调制波波形：方波、正弦波、三角波、锯齿波、指数波、扇形波、梯形波、尖波 12、差频频率：0～200Hz，允差在±10%或±1Hz。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13、差频变化周期：16s，允差±10%；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14、动态节律：8s，允差±10%；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15、调幅度：0～100%，调幅度允差±5%。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16、治疗时间：1min～99min 可调，步长 1min，允差±5%。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17、连续工作时间：不少于 4h；</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18、噪声不大于 45dB（A）；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19、具有电极加热功能： 电极片温度 38℃~42℃ , 分 10 档可调，允差±3℃; 20、具有四大保护功能：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1）超温保护： 电极片温度超过 45℃ , 热保护器动作，且有报警提示。 注：佐证资料见技术使用说明书 1.2.15 条款</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2）开路保护： 电疗仪在输出状态无负载时，发出声音和显示错误提示； 3）短路保护： 电疗仪在输出端短路时，发出声音和显示错误提示；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4）过流保护：输出电流有效值大于 2.3 要求时，发出声音和显示错误提示。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注：佐证资料见技术使用说明书 1.2.16 条款</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21、具有参数锁定功能，满足临床个性化需求；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22、本产品使用期限≥ 5 年；</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23、配置多类别电极片，满足临床多样化需求；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24、电源线长度：≥1.8m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25、连接线长度：≥1.55m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26、转换线长度：≥0.29m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27、工作环境：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1）环境温度：5℃~40℃;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2）相对湿度： ≤80%；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3）大气压力：700hpa～1060hpa；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 电源电压：～220V±10%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 电源频率：50Hz±1Hz。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6）输入功率：80VA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29、产品分类：</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1）防电击类型： Ⅱ类；</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2）防电击程度：BF 型；</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3）对进液的防护程度：IPX0；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4）运行模式：连续运行；</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5）在与空气混合的易燃麻醉气体或氧化亚氮混合的易燃麻醉气体情况下使用时的安全 程度：非 AP 型、APG 型设备；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 电磁发射：1 组 A 类</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30、安全要求：符合 GB 9706.1-2007、YY 0951-2015 和 YY 0607-2007 中适用的要求 31、电磁兼容性：符合 YY 0505-2012 和 YY 0607-2007 中第 36 章的要求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超短波治疗仪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主要功能特点和技术参数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振荡频率：40.68MHz±1.5%。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结构及组成： 电疗机主要由柜式主机、连接电缆、 电极板组成。</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最大输出功率：200W±20%。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输出模式：三种输出模式，根据不同病症治疗的需要进行选择。</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——连续输出模式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——断续输出模式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——脉冲输出模式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断续频率： 10～200Hz，步进 10 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脉冲脉宽：200～1000μs，步进 50 μs。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电源条件：220V/50Hz。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定时范围：0~99min，误差不大于±1min（结束治疗自动停机，并发出声音提示） 输出电缆：防辐射、耐高温、损耗小，两线交叉不打火。</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输入功率： ≤1000VA。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机器类别：I 类 BF 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16</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红外线治疗仪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1、电磁波额定功率：300W</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2、额定电压：220V</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3、光谱波长：2-25 微米</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4、频率：50Hz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1"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超声治疗仪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技术参数：</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1、便携式机型，3.5 寸彩色液晶显示屏加一键飞梭操作；</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2、仪器配有一个手持移动式 1MHz 探头；</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3、功率：80VA；</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4、额定输出功率：5W±20%；</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5、额定输出有效声强： ≤3.0W/cm</w:t>
            </w:r>
            <w:r>
              <w:rPr>
                <w:rStyle w:val="6"/>
                <w:rFonts w:hint="eastAsia" w:ascii="仿宋_GB2312" w:hAnsi="仿宋_GB2312" w:eastAsia="仿宋_GB2312" w:cs="仿宋_GB2312"/>
                <w:b w:val="0"/>
                <w:bCs w:val="0"/>
                <w:sz w:val="21"/>
                <w:szCs w:val="21"/>
                <w:lang w:val="en-US" w:eastAsia="zh-CN" w:bidi="ar"/>
              </w:rPr>
              <w:t>²</w:t>
            </w:r>
            <w:r>
              <w:rPr>
                <w:rStyle w:val="4"/>
                <w:rFonts w:hint="eastAsia" w:ascii="仿宋_GB2312" w:hAnsi="仿宋_GB2312" w:eastAsia="仿宋_GB2312" w:cs="仿宋_GB2312"/>
                <w:b w:val="0"/>
                <w:bCs w:val="0"/>
                <w:sz w:val="21"/>
                <w:szCs w:val="21"/>
                <w:lang w:val="en-US" w:eastAsia="zh-CN" w:bidi="ar"/>
              </w:rPr>
              <w:t xml:space="preserve"> ;</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6、波束类型：准直型；</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7、波束不均匀系数： ≤8；</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8、占空比：0～100%可调，步进为 10%；</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9、治疗时间：0 分钟～30 分钟；</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10、输出模式：9 档脉冲模式和 1 档连续模式；</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11、本产品取得计算机软件著作权；</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12、电源参数 : 电源电压：AC 220V±10％； 电源频率：50Hz±2%;</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13、治疗头有效辐射面积： 2.0cm</w:t>
            </w:r>
            <w:r>
              <w:rPr>
                <w:rStyle w:val="6"/>
                <w:rFonts w:hint="eastAsia" w:ascii="仿宋_GB2312" w:hAnsi="仿宋_GB2312" w:eastAsia="仿宋_GB2312" w:cs="仿宋_GB2312"/>
                <w:b w:val="0"/>
                <w:bCs w:val="0"/>
                <w:sz w:val="21"/>
                <w:szCs w:val="21"/>
                <w:lang w:val="en-US" w:eastAsia="zh-CN" w:bidi="ar"/>
              </w:rPr>
              <w:t>²</w:t>
            </w:r>
            <w:r>
              <w:rPr>
                <w:rStyle w:val="4"/>
                <w:rFonts w:hint="eastAsia" w:ascii="仿宋_GB2312" w:hAnsi="仿宋_GB2312" w:eastAsia="仿宋_GB2312" w:cs="仿宋_GB2312"/>
                <w:b w:val="0"/>
                <w:bCs w:val="0"/>
                <w:sz w:val="21"/>
                <w:szCs w:val="21"/>
                <w:lang w:val="en-US" w:eastAsia="zh-CN" w:bidi="ar"/>
              </w:rPr>
              <w:t xml:space="preserve"> ±20%；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76"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18</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全自动蜡疗仪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技术参数：</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1、电    源：AC220V±10%，50Hz±1Hz；</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2、功    率：3000VA；</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3、容    积：蜡箱 65 升，饼箱 80 升，误差±10%；</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4、蜡盘及蜡盘尺寸：饼箱可一次性储存 8 盘蜡，可分成 2 区，每区均可独立控制；</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5、显示方式：≥10 寸彩色液晶触摸显示屏，可实时显示仪器工作状态；</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6、温控范围： 熔蜡箱 58℃~85℃,制饼箱 45℃~65℃ , 温控精度： ±3℃; 7、两种工作模式：预约制饼模式、快速制饼模式；</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7.1、预约制饼模式：分为“蜡箱制饼 ”和“饼箱制饼 ”，其中“蜡箱制饼 ”先从蜡箱 融蜡，然后将融化的蜡液注入饼箱制饼；“饼箱制饼 ”，是在饼箱有未用完的冷却蜡饼 的情况下，直接在饼箱加热至使用温度；</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7.2、快速制饼模式：设定好参数后设备即刻启动制作蜡饼；</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8、饼箱：采用循环风道系统设计，确保蜡饼内部无夹心无蜡液共存；</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9、石蜡清洁：对蜡进行重复水洗分离， 自动消毒、清洗、沉淀、过滤，确保用蜡干净 卫生,防止交叉感染；</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10、设备选材：蜡箱表面经过喷塑处理，易清洗，防生锈，坚固耐用；内胆采用全高标 SUS304 不锈钢制作，模块化设计清理及维护更方便；</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11、双重安全保护：超温保护、低液位报警；</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超温保护：融蜡箱温度超过 95℃或饼箱温度超过 90℃时，均能自动切断加热装置； 低液位报警： 自动检测融蜡箱水位，低水位自动报警；</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12、外形尺寸：1250mm*600mm*1000mm，误差不大于±5%，左右结构，无需额外操作平台；</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13、蜡饼厚度选择：3 种厚度可供选择，默认薄蜡饼（10mm）、标准蜡饼(15mm)、厚蜡饼(19mm)，亦可后台自定义调整蜡饼厚度；</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14、高温消毒，紫外线消毒功能；</w:t>
            </w:r>
          </w:p>
          <w:p>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15、提供储物空间:480mm*300mm*470mm，误差不大于±5%无需额外配置储物柜；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9"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19</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空气波压力治疗仪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1.正常工作条件：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1.1.工作环境：温度 5℃~40℃;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1.2.相对湿度：10%～80%；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1.3.大气压力：86kPa～106kPa；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1.4.工作电压：～ 220V±10%；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1.5.电源频率：50Hz±1Hz；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1.6.输入功率： ≤60VA。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2.便携式机型，可同时使用两个气囊；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3.单通道四路输出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4.触摸屏+一键飞梭；</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5.具有阶梯压力设置功能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6.时间设定连续运行或设定功能时间范围 0～99min；步长 1 min；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7.充气间隔时间调节范围 0-90s；步长 5s；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8.压力保持时间 0-12s 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9.治疗模式：8 种充气模式；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模式 A： 由远端到近端的逐个(腔室)常规充气模式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模式 B： 由远端到近端的每 2 个(腔室)常规充气模式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模式 C： 由远端到近端的逐个(腔室)渐进充气模式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模式 D： 由远端到近端的每 2 个(腔室)渐进充气模式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模式 E： 由近端到远端的逐个(腔室)常规充气模式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模式 F： 由近端到远端的每 2 个(腔室)常规充气模式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模式 G： 由模式 A 和模式 B 组成循环进行模式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模式 H： 由模式 E 和模式 F 组成循环进行模式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10.压强指示：治疗仪具有压强指示，以指示当前治疗程序下治疗仪在气囊内产生的治疗压强；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11.压强调节：气囊压强调节范围 0～200mmHg，设定调整步长为 5mmHg；</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12.权限压强≤300mmHg，且超过 15mmHg 的持续时间不大于 3 min；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13.过压保护：治疗仪应具有过压保护措施；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14.急停开关 ：治疗仪提供电源及功能开关之外的急停开关，可随时中止治疗程序； 15.手动释压：治疗仪应提供在各种状态下手动解除患者压强的措施；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16.具有数据交换性能，可通过 WiFi 连接数据；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17.治疗仪具有治疗参数设置功能，可选择治疗模式、气囊类型、设置各腔室治疗压 力、治疗时间；</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18.治疗仪具有治疗参数显示功能，可显示当前设置的治疗参数，以及当前充气压力、 剩余治疗时间、WIFI 状态；</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19.气密性：气囊和连接管路应有良好的气密性，在最大输出压强下保持 1min，压降不大于 10%；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20.连接：连接管路应有防止接错的装置或标识；</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21.工作噪声：治疗仪正常工作时的噪声应不大于 45dB（A）。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20</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脑循环治疗仪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1、额定输入电压 AC220V、50Hz；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2、中频输出电流 0mA～100mA；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3、整机功耗： ≤70VA；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4、常用电极尺寸：97*60mm；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5、电疗、磁疗、热疗、药物导入相结合；</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6、脉冲最大输出开路电压峰值&lt;500V,低频单个脉冲最大输出能量≤300mJ；</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7、脉冲的频率：低频频率≤1kHZ；中低频频率为 1HZ～9.6kHZ；变频为低频 与中频交替进行，低频频率≤1kHZ，中频频率为 0.5kHZ～9.6kHZ；按摩频率为 1HZ～9.6kHZ；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8、红外温度 16 级可调；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9、有药物导入功能，并配有导入药物的参考配方；</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10、治疗帽一个，采用重复性经颅磁刺激交变电磁技术，具有 6 个电磁发生器 输出磁场强度 0～2.0mT，为小剂量弱磁场，安全性高，输出磁场能量密度大穿透力强，治疗效果好；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11、对颅脑形成重复性电磁刺激和变频头部振动按摩，具有电磁刺激和按摩双 重治疗功能；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12、脉冲宽度：0.02ms～4.5ms；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13、工作报停时间 0～90min 任选；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14、中文操作界面，液晶显示，操作简便快捷；</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15、48 种专家处方，51 种调制处方；</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16、配有一次性中药电极贴片（选配）；</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17、环境温度 5℃~40℃; 相对湿度≤80%；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18、两个独立通道，推车型，底部装有万向轮，移动方便；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21</w:t>
            </w:r>
          </w:p>
        </w:tc>
        <w:tc>
          <w:tcPr>
            <w:tcW w:w="23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言语治疗实训室</w:t>
            </w:r>
          </w:p>
        </w:tc>
        <w:tc>
          <w:tcPr>
            <w:tcW w:w="37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C309</w:t>
            </w: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言语治疗工作台及工作椅</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一、工作椅长宽高：52*47*83cm（允许偏差±5cm）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1、框架：弯曲木，频热压、经防潮、 防腐、防虫化学处理。 具有较良好的强度性能，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良好的抗震力。</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2、扶手：圆角木条设计，无缝拼接边角处采用倒圆工艺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3、坐垫、靠背：均采用达到阻燃等级要求材料制作而成的软包，高密度海绵，防止褥 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4、采用优质软包 PU，具有耐磨防水、抗菌防霉、防火阻燃、耐医疗消毒剂的特性； 5、采用国内一线品牌油漆，成品纹理清晰、表层饱满、光泽润亮。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二、工作台长宽高：80*80*75cm（允许偏差±5cm）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1、实木框架：采用优质橡胶木，木质细腻、具有较良好的强度性能， 良好的抗震力；  2、台面：圆角木条设计，无缝拼接边角处采用倒圆工艺，天然橡木指接板贴白蜡木皮。 3、油漆：成品纹理清晰、表层饱满、光泽润亮。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22</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言语训练卡片</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ind w:firstLine="210" w:firstLineChars="10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ind w:firstLine="210" w:firstLineChars="100"/>
              <w:jc w:val="both"/>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用于矫正呼吸、发声、共鸣障碍的强化训练，还可用于构音语音能力、构音音位对比能 力的评估与训练和口部构音运动能力的训练。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本用具包括呼吸训练卡片册、发声训练卡片册、共鸣训练卡片册、构音语音能力评估卡 片册、构音音位对比能力评估卡片册、口部构音运动能力训练卡片册、构音语音能力评 估记录词表、构音音位对比能力评估记录词表、使用说明手册和配套光盘等。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2"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23</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听觉功能评估与训练卡片</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本套用具主要包括超音段分辨能力评估训练卡片册和记录词表、语音均衡式识别能力评 估训练卡片册和记录词表、听觉理解能力评估(单条件、双条件、三条件) 训练卡片册 和记录词表、构音音位对比能力评估训练卡片册和记录词表、构音语音能力评估训练卡 片册和记录词表、使用说明书和配套光盘等。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24</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吞咽障碍电刺激仪</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技术参数：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1.便携式机型，配有 1 个触发器，1 根四芯电极线，1 根两导电极分别对应不同的治疗 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2.仪器配有蝶形电极片和矩形电极片，蝶形电极片用于治疗，矩形电极片用于训练；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3.液晶屏显示，屏幕尺寸：115mm*65mm（允许偏差±5cm）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4.输出电参数：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a) 输出电流：0～25mA，分 50 档连续可调，精度±2mA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b) 主电极开路输出电压： ≤150V</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5.具有四种输出模式：成人连续、儿童交替、手控触发、 自动触发</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5.1.成人连续模式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脉冲宽度：100μs～300μs 可调，脉冲间隔：100μs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脉冲频率：50Hz～100Hz 可调，步距增量 1Hz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5.2.儿童交替模式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脉冲宽度：100μs～300μs 可调，脉冲间隔：100μs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脉冲频率：50Hz～100Hz 可调，步距增量 1Hz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持续时间： ≥1s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5.3 手持触发模式脉冲宽度：10ms～1000ms，分 15 档可调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5.4. 自动触发模式脉冲宽度：脉冲间隔 1-5 档可调，即 1-5s 可调，步距增量 1s 6.时间选择：1～99 分钟可调，步距增量为 1 分，误差为±5%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7.设备连续工作时间大于 8h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1"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25</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言语康复评估及训练系统</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jc w:val="center"/>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产品特性</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1）对多种汉语语言障碍进行诊断和康复训练；</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2）有筛选多种语言障碍的智能判断题。</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3）实行对各种语言参数的模糊识别计算；</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4）对应于多种语言障碍的个体化康复处方；</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5）智能测量患者语速，评估被试者的语言流利程度；</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6）实现治疗师自行设计，录制方言语音等有互动功能的康复平台。</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二、产品用途</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供医疗机构用于语言障碍的诊断及康复指导。</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1、计算机语言功能评估与训练系统由系统简介功能、资料管理功能、评估筛查功能、 康复训练功能、康复训练建议五大部分组成的。</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2、仪器以开放式接口计算机、音频输入/输出、打印机为硬件基础，配有便携式密码狗。 3、软件架构</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3.1 系统简介功能：详尽解释整个系统的按键功能和操作说明。</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3.2 资料管理功能：具有登记，查询，修改患者基本情况信息、病例资料等功能。</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3.3 评估筛查功能：包括了听检查、视检查、语音检查和口语表达检查四部分。</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3.3.1 听检查：包括图匹配、指图、指数字、指字、是否判断检查。</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3.3.2 视检查：包括视图匹配、视执行检查。</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3.3.3 语音检查：包括清浊音检查。</w:t>
            </w:r>
          </w:p>
          <w:p>
            <w:pPr>
              <w:keepNext w:val="0"/>
              <w:keepLines w:val="0"/>
              <w:widowControl/>
              <w:numPr>
                <w:ilvl w:val="0"/>
                <w:numId w:val="1"/>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3.3.4 口语表达检查：包括跟读、记忆、看图讲名、看朗读、 自己讲检查。 </w:t>
            </w:r>
          </w:p>
          <w:p>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3.4康复训练功能：包括评估结果、康复内容、康复建议三部分。</w:t>
            </w:r>
          </w:p>
          <w:p>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3.4.1 评估结果：查看当前患者当次评估测试结果。</w:t>
            </w:r>
          </w:p>
          <w:p>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3.4.2 康复内容：包括听训练、视训练、语音训练、发音器官训练、口语表达训练和学 老师平台。</w:t>
            </w:r>
          </w:p>
          <w:p>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a)听训练：根据语音提示，通过触摸屏幕或鼠标选择正确的图形、文字或答案。</w:t>
            </w:r>
          </w:p>
          <w:p>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b)视训练：根据屏幕文字提示，通过触摸屏幕或鼠标选择正确的图形、文字或答案。</w:t>
            </w:r>
          </w:p>
          <w:p>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c)语音训练：根据屏幕文字或语言提示，对话筒进行发声，使屏幕中出现相对应的事件。 d)发音训练：根据屏幕文字或语言提示，完成相应的口部训练动作。</w:t>
            </w:r>
          </w:p>
          <w:p>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e)口语表达训练：根据屏幕文字、图形或语音提示，完成复述、阅读、命名、记忆和自 发语言训练。</w:t>
            </w:r>
          </w:p>
          <w:p>
            <w:pPr>
              <w:keepNext w:val="0"/>
              <w:keepLines w:val="0"/>
              <w:widowControl/>
              <w:numPr>
                <w:ilvl w:val="0"/>
                <w:numId w:val="0"/>
              </w:numPr>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f)学老师平台：可设计复述、命名、判断、理解、阅读、造句、选择、匹配、视频 9 种训练题型。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26</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节拍器</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速度:40-208 拍/分</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尺寸 :21*10.5*11.7CM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节拍:02346</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误差 :&lt;1%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材质 :全金属铜机芯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适用范围 : 钢琴、吉他、二胡、古筝等各种乐器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2"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27</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呼吸训练器</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尺寸：16×5×15cm（允许偏差±2cm）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绿球：600cc</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蓝球：900cc</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红球：1200cc</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档位调节：吹气 8 挡调节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吸气 9 挡调节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28</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发音口型矫正镜</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ind w:firstLine="210" w:firstLineChars="100"/>
              <w:jc w:val="both"/>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面</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帮助儿童进行言语训练和口型矫正</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外形尺寸/cm ：19×27cm（允许偏差±2cm）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29</w:t>
            </w:r>
          </w:p>
        </w:tc>
        <w:tc>
          <w:tcPr>
            <w:tcW w:w="23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运动康复大厅</w:t>
            </w:r>
          </w:p>
        </w:tc>
        <w:tc>
          <w:tcPr>
            <w:tcW w:w="37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C301</w:t>
            </w: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PT床</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张</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外形尺寸（长×宽×高）：</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190 ㎝ ×123 ㎝×48 ㎝（允许偏差±2cm）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床面高度：48 ㎝±2cm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床面额定承载 :</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 xml:space="preserve"> 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30</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PT椅</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把</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外形尺寸（直径×高）：</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Φ60cm×（42～53）cm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带液压油缸，360 °旋转</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额定承载：</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31</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电动起立床</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张</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外形尺寸（长×宽×高）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189cm×80cm×105cm（平放）（允许偏差±2cm）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189cm×80cm×196cm（直立）（允许偏差±2cm）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床面宽度：61 ㎝±2cm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床面高度：52 ㎝±2cm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床面角度转动范围：0 °~85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床面及脚踏板额定承载：2000N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承受额定承载时床板从水平到直立位置时的运行时间： ≥30s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32</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医用跑台</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外形尺寸（长×宽×高）：172cm×73cm×128cm（允许偏差±5cm）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跑台面尺寸（长×宽）：157cm×58cm（允许偏差±5cm）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速度调节：0.1~12.5cm/s（可调）</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坡度调节：0~30 °（可调）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跑台板额定承载：</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0"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33</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训练用阶梯</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1、扶梯由一面四阶梯、一面五阶梯和中间的平台组成。钢制扶手，扶手高度可调节 2、材质：优质实木板材（多层实木）、优质钢材、管材、不锈钢</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三、主要技术指标和参数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1、外形尺寸（长×宽×高）：337×81.5×（125-157）cm,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2、五步阶梯相邻阶梯高度：10.6cm,四部相邻阶梯高度：11.6cm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3、扶手杠调节范围 0～32cm,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4、扶手杠侧向额定载荷 70kg，阶梯额定载荷 135kg。</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5、主要材质规格：方管 20*20*1.5mm；冷板 5mm；不锈钢圆管φ32*1.2mm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6、各台阶底面采用加宽不锈钢防滑片，宽度 30mm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7、高度范围：125-157cm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34</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平行杠</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外形尺寸（长×宽×高）：</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300cm×（86～112）cm×（57～87）cm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扶手杆高度调节范围：57cm～87cm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两扶手杆中心调节范围：32cm～61cm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扶手杆直径： φ3cm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额定承载：</w:t>
            </w:r>
            <w:r>
              <w:rPr>
                <w:rFonts w:hint="eastAsia" w:ascii="仿宋_GB2312" w:hAnsi="仿宋_GB2312" w:eastAsia="仿宋_GB2312" w:cs="仿宋_GB2312"/>
                <w:b w:val="0"/>
                <w:bCs w:val="0"/>
                <w:i w:val="0"/>
                <w:iCs w:val="0"/>
                <w:color w:val="000000"/>
                <w:kern w:val="0"/>
                <w:sz w:val="21"/>
                <w:szCs w:val="21"/>
                <w:u w:val="none"/>
                <w:lang w:val="en-US" w:eastAsia="zh-CN" w:bidi="ar"/>
              </w:rPr>
              <w:t>≥</w:t>
            </w:r>
            <w:r>
              <w:rPr>
                <w:rStyle w:val="4"/>
                <w:rFonts w:hint="eastAsia" w:ascii="仿宋_GB2312" w:hAnsi="仿宋_GB2312" w:eastAsia="仿宋_GB2312" w:cs="仿宋_GB2312"/>
                <w:b w:val="0"/>
                <w:bCs w:val="0"/>
                <w:sz w:val="21"/>
                <w:szCs w:val="21"/>
                <w:lang w:val="en-US" w:eastAsia="zh-CN" w:bidi="ar"/>
              </w:rPr>
              <w:t>1200N</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矫正板坡度：15 °</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抓握杆高度：30mm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镀层件表面色泽光亮、均匀、无锈蚀、露底鼓泡和明显的划伤和毛刺等缺陷；</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扶手杆高度可调，适合不同身高人群进行训练。扶手杆宽度可调，适用于不同体型人 群进行训练。</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底座两端设计有斜坡，方便受训者上下。</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金属电镀层抗盐雾：24h，直径 1.5mm 以下锈点≤20 点/dm</w:t>
            </w:r>
            <w:r>
              <w:rPr>
                <w:rStyle w:val="6"/>
                <w:rFonts w:hint="eastAsia" w:ascii="仿宋_GB2312" w:hAnsi="仿宋_GB2312" w:eastAsia="仿宋_GB2312" w:cs="仿宋_GB2312"/>
                <w:b w:val="0"/>
                <w:bCs w:val="0"/>
                <w:sz w:val="21"/>
                <w:szCs w:val="21"/>
                <w:lang w:val="en-US" w:eastAsia="zh-CN" w:bidi="ar"/>
              </w:rPr>
              <w:t>²</w:t>
            </w:r>
            <w:r>
              <w:rPr>
                <w:rStyle w:val="4"/>
                <w:rFonts w:hint="eastAsia" w:ascii="仿宋_GB2312" w:hAnsi="仿宋_GB2312" w:eastAsia="仿宋_GB2312" w:cs="仿宋_GB2312"/>
                <w:b w:val="0"/>
                <w:bCs w:val="0"/>
                <w:sz w:val="21"/>
                <w:szCs w:val="21"/>
                <w:lang w:val="en-US" w:eastAsia="zh-CN" w:bidi="ar"/>
              </w:rPr>
              <w:t xml:space="preserve"> , 其中直径≥1.0mm 锈点 不超过 5 点（距边缘棱角 2mm 以内的不计）。</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木质件结合处结合牢固，外表结合处缝隙不大于 0.2mm。加工表面不应有崩茬和刀痕， 表面和边缘不应有毛刺、虫眼、尖角应倒钝。</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薄木盒其他材料贴面的拼贴严密、平整，无脱胶、鼓泡、凹陷和压痕等，人造板制成 的部件应进行封边处理，封边条不允许有脱胶、鼓泡。</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扶手杠侧向额定承载不小于 750N，并保持 5 分钟，不会有任何裂痕和破损。 踏板额定承载不小于 2000N，并保持 5 分钟，不会有任何裂痕和破损。</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螺丝外观要求：长度大于 8mm 的硬制件外漏突出物，其尾端均应倒圆或采用其他方式 予以防护，倒圆半径不应小于 5mm。螺钉的外漏长度不应超过其螺距的 2 倍，突出部分 不允许有锐利尖端和毛刺，或其端部应有光滑的螺母帽覆盖。</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调节和锁定装置在不使用工具的情况下可以手动调节。</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正常使用过程时，产生的噪声不大于 60dB。</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环保要求：器械使用的金属制品和金属制品的表面涂层，不应存在感官能察觉到的异味。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35</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双轮助行器</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5</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外形尺寸：（长宽高）cm:59×51×80-90（允许偏差±2cm）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大架管直径：25mm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管壁厚度：</w:t>
            </w:r>
            <w:r>
              <w:rPr>
                <w:rFonts w:hint="eastAsia" w:ascii="仿宋_GB2312" w:hAnsi="仿宋_GB2312" w:eastAsia="仿宋_GB2312" w:cs="仿宋_GB2312"/>
                <w:b w:val="0"/>
                <w:bCs w:val="0"/>
                <w:i w:val="0"/>
                <w:iCs w:val="0"/>
                <w:color w:val="000000"/>
                <w:kern w:val="0"/>
                <w:sz w:val="21"/>
                <w:szCs w:val="21"/>
                <w:u w:val="none"/>
                <w:lang w:val="en-US" w:eastAsia="zh-CN" w:bidi="ar"/>
              </w:rPr>
              <w:t>≥</w:t>
            </w:r>
            <w:r>
              <w:rPr>
                <w:rStyle w:val="4"/>
                <w:rFonts w:hint="eastAsia" w:ascii="仿宋_GB2312" w:hAnsi="仿宋_GB2312" w:eastAsia="仿宋_GB2312" w:cs="仿宋_GB2312"/>
                <w:b w:val="0"/>
                <w:bCs w:val="0"/>
                <w:sz w:val="21"/>
                <w:szCs w:val="21"/>
                <w:lang w:val="en-US" w:eastAsia="zh-CN" w:bidi="ar"/>
              </w:rPr>
              <w:t>1.2mm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脚管尺寸：管直径：28mm    管壁厚度：</w:t>
            </w:r>
            <w:r>
              <w:rPr>
                <w:rFonts w:hint="eastAsia" w:ascii="仿宋_GB2312" w:hAnsi="仿宋_GB2312" w:eastAsia="仿宋_GB2312" w:cs="仿宋_GB2312"/>
                <w:b w:val="0"/>
                <w:bCs w:val="0"/>
                <w:i w:val="0"/>
                <w:iCs w:val="0"/>
                <w:color w:val="000000"/>
                <w:kern w:val="0"/>
                <w:sz w:val="21"/>
                <w:szCs w:val="21"/>
                <w:u w:val="none"/>
                <w:lang w:val="en-US" w:eastAsia="zh-CN" w:bidi="ar"/>
              </w:rPr>
              <w:t>≥</w:t>
            </w:r>
            <w:r>
              <w:rPr>
                <w:rStyle w:val="4"/>
                <w:rFonts w:hint="eastAsia" w:ascii="仿宋_GB2312" w:hAnsi="仿宋_GB2312" w:eastAsia="仿宋_GB2312" w:cs="仿宋_GB2312"/>
                <w:b w:val="0"/>
                <w:bCs w:val="0"/>
                <w:sz w:val="21"/>
                <w:szCs w:val="21"/>
                <w:lang w:val="en-US" w:eastAsia="zh-CN" w:bidi="ar"/>
              </w:rPr>
              <w:t>1.3mm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框架材质：优质铝合金</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脚管性能：高度可调，脚垫材质为耐磨、有弹性、表面摩擦系数较高的防滑橡胶材料， 着地性能好，稳定性佳。</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前轮材质：采用优质橡胶材质，防滑耐磨。轮毂采用工程聚丙材质，结实耐用。</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把手功能：高度可调，配发泡手把，防滑、舒适；8 档调节。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最大承载量：</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110kg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4"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36</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腋拐</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10</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长度范围（mm）1240～1440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调节范围（mm/级×级数）25×8</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最大垂直静压力（kJC）65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37</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多功能训练器（八件组合）</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外形尺寸（长×宽×高）：270cm×243cm×271cm（允许偏差±5cm）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组件：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前臂旋转训练器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腕关节曲伸训练器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肩关节旋转训练器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复式墙拉力器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肩梯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肋木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滑轮吊环训练器(01)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滑轮吊环训练器(02)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38</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下肢功率车</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外形尺寸（长×宽×高）：137 ㎝ ×58 ㎝×97 ㎝（允许偏差±5cm）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坐垫调节范围：0~23 ㎝（可调）</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阻尼调节档数：</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8 档</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靠背垫额定承载: ≥70kg</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座垫额定承载 : ≥135kg</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电子表功能：显示窗口：时间、速度、距离、热量等数值。归零键。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1"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39</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多体位手法治疗床</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张</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外形尺寸/cm：203×65×（50～94）</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床面高度调节范围/cm：（50～94）</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床板翻转角度：</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头板：-30 °~25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座板：0 °~25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腿板：0 °~75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床板额定承载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头板：≥400N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座板：≥900N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腿板：≥700N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床板总尺寸/㎝：198×62（允许偏差±5cm）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腿板尺寸/㎝：36×62（允许偏差±5cm）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座板尺寸/㎝：53×62（允许偏差±5cm）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bookmarkStart w:id="0" w:name="_GoBack"/>
            <w:r>
              <w:rPr>
                <w:rFonts w:hint="eastAsia" w:ascii="仿宋_GB2312" w:hAnsi="仿宋_GB2312" w:eastAsia="仿宋_GB2312" w:cs="仿宋_GB2312"/>
                <w:b w:val="0"/>
                <w:bCs w:val="0"/>
                <w:i w:val="0"/>
                <w:iCs w:val="0"/>
                <w:color w:val="000000"/>
                <w:kern w:val="0"/>
                <w:sz w:val="21"/>
                <w:szCs w:val="21"/>
                <w:u w:val="none"/>
                <w:lang w:val="en-US" w:eastAsia="zh-CN" w:bidi="ar"/>
              </w:rPr>
              <w:t>腿板尺寸/㎝：105×62（允许偏差±5cm）</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40</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站立架</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外形尺寸（长×宽×高）：</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74cm×71cm×（95～115）cm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台面高度调节范围：95cm～115cm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胸托架前后可调距离：</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8cm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背托架前后可调距离：≧20cm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膝部托架可调距离：≧15cm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臀部垫额定承载：≧1000N</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绑带额定承载：≧1000N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脚踏板额定承载：≧2000N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41</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腋杖</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（1）主架：采用优质不锈钢，主体部分管径 19mm±2cm，壁厚</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1.0mm。软托为 PPR 发泡材质, 硬托、手把采用工程聚丙材料一次注塑成型，抗菌抗老化。</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（2）脚垫：材质为有弹性、耐磨、表面摩擦系数较高的防滑橡胶材料；</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（3）性能：高度可调节，</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7 档调节高度，调节范围是 1300mm-1420mm 调节，适合 1.6~ 1.9m 人群使用。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（4）调节方式：螺丝调节。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2"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42</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手杖</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1）材质铝合金，22mm±2cm 管直径、壁厚</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1.2mm，表面防氧化处理。</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(2）高度可调，53cm-112cm 适合 1.50m-1.75m 人群使用，徒手轻松调节，伸缩自如， 定位安全可靠。</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(3）支脚垫材质为工程聚丙材料一次注塑成型，抗菌抗老化。配有手电、指南针、减震 等功能，使用方便。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2"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43</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助行器</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外形尺寸：（长宽高）cm:55×48×74-84</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大架管直径：</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25mm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管壁厚度：</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1.2mm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脚管尺寸：管直径：28mm  管壁厚度：</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1.3mm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框架材质：优质铝合金</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脚管性能：高度可调，脚垫材质为耐磨、有弹性、表面摩擦系数较高的防滑橡胶材料， 着地性能好，稳定性佳。</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把手功能：高度可调，配发泡手把，防滑、舒适；8 档调节。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最大承载量：</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110kg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1"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44</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普通轮椅</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辆</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材质：钢管喷涂、总宽：68cm±2cm、总长：104cm±2cm、总高：93cm±2cm、坐宽：46cm±2cm、坐垫离地高</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度：51cm±2cm、扶手高度：74cm±2cm、大轮直径：61cm±2cm、小轮直径：17cm±2cm、折叠宽度：27cm±2cm、座</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深：20cm±2cm、承重：</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75kg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45</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姿势矫正镜</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面</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外形尺寸/cm ：85×67×190（允许偏差±5cm）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1"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46</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防褥疮翻身垫</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both"/>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张</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产品参数：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1、嗓音： ≤45db</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2、面料：加厚医用 PVC</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3、便孔：无</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4、产品特点：睡眠气泵、条形波动、软硬可调、气条可单独拆分</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5、适用于：家用床、土炕、医院病床（木板床）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6、使用群体：长期卧床患者且无自理能力患者（带便孔，更方便）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4"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47</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多功能训练器（八件组合）</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尺寸：72×243×271cm（允许偏差±5cm）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组件：前臂旋转训练器、腕关节曲伸训练器、肩关节旋转训练器、复式墙拉力器、肩梯、肋木、滑轮吊环训练器(01)、滑轮吊环训练器(02)；产品用途：</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1、前臂康复训练器：适用于前臂进行抗阻力运动，改善前臂旋转功能。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2、腕关节康复训练器：适用于腕部进行抗阻力运动，改善腕部关节活动范围及进行肌力训练。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3、肩关节康复训练器：适用于肩部进行抗阻力运动，改善肩关节活动范围和增强上肢肌力。</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4、复式墙拉力器：适用于四肢进行抗阻力运动，也可进行肌力训练和关节活动度训练。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5、肩梯：通过手指沿着肩梯不断上移，逐渐提高肩关节的活动范围，减轻疼痛。</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6、肋木：适用于受训者借助肋木杠进行四肢关节活动范围和肌力训练、坐站立训练、平衡训练及躯干的伸展训练。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7、滑轮吊环训练器：适用于肩关节活动范围训练、关节牵引、肌力训练。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8、滑轮吊环训练器：适用于肩关节活动范围训练、关节牵引、肌力训练。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特点和功能：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可进行前臂、腕关节、肩关节、四肢的组合训练。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进行肩关节训练时力臂可调。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进行前臂、腕关节、肩关节训练时，手握持装置的高度可调，以适应不同身高和臂长的人群。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48</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腰椎牵引仪</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技术参数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1、电源电压：220V±22V  50HZ±1HZ；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2、额定输入功率： ≤600VA；</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3、牵引总时间：0～60min 任意设定；</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4、持续牵引时间：0～9min 任意设定；</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5、间歇牵引时间：0～9min 任意设定；</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6、成角动作范围：+15 °~-25 °可调；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7、旋转动作范围： ±25 °连续可调；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8、床面热疗温度： ≤50℃;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9、牵引参数：0~99kg 任意可调；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主动牵引行程：0～200mm；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10、颈椎牵引力：0～30kg；</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11、颈椎牵引行程：0～300mm；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12、医务人员均可控制牵引力大小，操作方便；</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13、颈椎牵引曲度可以调节；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14、三维立体全方位牵引功能；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15、牵引功能，具备上成角牵引、下成角牵引，左、右旋转牵引（侧扳复位）；</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16、电脑控制腰椎牵引，具有持续牵引、间歇牵引、反复牵引等八种牵引治疗模式，具 备牵引力自动补偿功能；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17、独有的半导体远红外床面热疗功能；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18、病例档案管理，方便临床及开展研究工作；</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19、多种安全设计（最大牵引力 99kg，患者应急线控开关、医务人员操作急退键）； 20、计算机控制、中文显示，任意设定参数。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6"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49</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悬吊训练装置</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1.采用钢材烤漆材质的网架式结构。</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2.配有≥4种可用于下肢训练的悬吊带，至少包括：小号吊带、中号吊带、窄悬吊带、脚踏悬吊带。</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小号吊带，尺寸：440mm*120mm（±20%）。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中号吊带，尺寸：690mm*120mm（±20%）。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窄悬吊带，尺寸：820mm*105mm（±20%）。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脚踏带，尺寸：116mm*255mm（±20%）。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3.配有≥4种可用于上肢训练的悬吊带及拉手，至少包括：短悬吊带、开环手柄、稳性手柄、手把。</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短悬吊带，长度：≥300mm。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开环手柄，尺寸：145mm*28mm*155mm（±20%）。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稳性手柄，尺寸：190mm*30mm*210mm（±20%）。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手把，尺寸：186mm*50mm*215mm。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4.配有2种可用于躯干及头颈部训练的悬吊带，至少包括：宽悬吊带、颈部悬吊带。</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宽悬吊带，尺寸：820mm*240mm（±20%）。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颈部悬吊带，尺寸：870mm*110mm（±20%）。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3.配有≥3种可承受200kg持续拉力下无延展绳索，至少包括：牵引绳、单边悬吊绳、带绳卡器的实心绳。</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牵引绳，长度：≥5m。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单边悬吊绳，长度：≥2m。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带绳卡器的实心绳，长度：≥300mm。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4.配有≥3种可变阻力的弹力绳，至少包括：30kg弹力绳、50kg弹力绳、橡胶弹性管。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30kg弹力绳，长度：≥300mm。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50kg弹力绳，长度：≥300mm。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橡胶弹性管，长度：≥5m。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5.配有滑轮系统，可通过搭建动滑轮、定滑轮来改变力线方向及负重量。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6.配有≥2种尺寸的支撑圆筒，用以不同肢体部位的支撑。</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小号支撑圆筒，长度：≥360mm。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大号支撑圆筒，长度：≥510mm。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7.配有≥7种用于牵引操作的配件，至少包括：撑杆、颈部吊带、小号骨盆带、大号骨盆带、牵引袋、运动棒、平衡垫，用以组建简易的牵引训练系统。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撑杆，尺寸：350mm*70mm（±20%）。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颈部吊带，尺寸：200mm*62mm*275mm（±20%）。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小号骨盆带，尺寸：1200mm*220mm（±20%）。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大号骨盆带，尺寸：1400mm*230mm（±20%）。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牵引袋，至少包含：0.5KG、1KG、2KG、3KG、4KG、5KG。</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运动棒，长度：≥1110mm。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平衡垫，直径：≥340mm。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8.系统最大承重：≥200kg，单点最大承重：≥50kg，满足全身悬吊训练的需求。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9.系统外形尺寸（L*W*H）：2310mm*2140mm*2240mm（（允许偏差±20cm））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4"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23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作业治疗室</w:t>
            </w:r>
          </w:p>
        </w:tc>
        <w:tc>
          <w:tcPr>
            <w:tcW w:w="37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C308</w:t>
            </w: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OT综合训练工作台</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外观尺寸：191×104×93cm（允许偏差±5cm）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训练位：器械在使用过程中，不应存在训练位与练位之间或同训练位之间的器械干涉、 运动范围干涉、人体干涉等现象。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材质：主要采用优质钢材、实术等。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环保要求：器械使用的金属制品和金属制品的表面涂层，不应存在感官能察觉到的异味。</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整体稳定性要求： 自立式器械应着地平稳，底角与水平面的差值≤2mm，并在使用中不 应产生晃动。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外观：可触及表面不得有毛刺。锐边和机械损伤。</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焊接件焊缝表面应均匀，光滑平整。不，应有漏焊，虚焊焊瘤，夹渣，裂纹，烧穿，飞 溅物等缺陷；喷涂件表面色泽应均匀，光滑平整，不允许有漏点，起泡脱落，开裂漏挂 和明显的擦伤，碰伤等缺陷；硬质管材末端应有部件或管塞堵住，不应脱落。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附件：上肢协调功能练习器、分指板弧形分指板、铁棍插板、型木插板、套圈、木制图 形插板、模拟作业工具、上螺丝、上螺母、磁性钮，12 种。产品用途：</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适用于改善手指功能、提高眼手协调功能，训练感知能力及大脑对图形的识别能力，训 练上肢稳定性、协调性，提高上肢日常活动能力。</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特点和功能：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1.侧板高度可调，适合不同身高人群使用。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2.侧板可折叠，节省存放空间。</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3.配有带刹脚轮，方便移动。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4.12 套训练器材组合搭配，可进行综合训练。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训练结束后各器具可整理、收集在柜中，节约放置空间。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51</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OT桌（可调式）</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张</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外形尺寸（长×宽×高）：</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120cm×80cm×75cm（允许偏差±5cm）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桌面升降范围：53cm～83.5cm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桌面额定承载：≥750N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桌面尺寸（长×宽）：120cm×80cm（允许偏差±5cm）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手柄转动力矩： ≤10N;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产品用途：作业训练用桌，桌面高度可按需进行调节，配模拟作业工具一套。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特点和功能：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1、桌面高度可调，适合不同身高人群使用。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可搭配模拟作业工具，进行手工作业训练。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52</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上肢协调功能训练器（手）</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外形尺寸/cm：33×24×36（允许偏差±2cm）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53</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上肢协调功能训练器（腕）</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产品尺寸：112×27×53cm（允许偏差±5cm）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54</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体操棒与抛接球（立式）</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外形尺寸/cm：40×40×103（允许偏差±5cm）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体操棒外形尺寸/cm： φ2.8×100，数量 5 根</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抛接球直径及数量： φ25cm/4 个 ;通过带棒做操和抛接球活动，改善上肢活动范围，提 高肢体协调控制能力及平衡能力。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55</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系列哑铃</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外形尺寸/cm：81×55×80（允许偏差±5cm）（不含哑铃）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哑铃规格：2 磅、4 磅、6 磅、8 磅、10 磅</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哑铃数量：2 磅共 4 个，4 磅共 4 个，6 磅共 4 个、8 磅共 2 个、10 磅共 2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1"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56</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系列沙袋</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产品尺寸：69×35×80cm（允许偏差±5cm）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沙袋重量（kg）及个数：0.5kg (2 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0.75kg（2 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1kg（2 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1.5kg（2 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2kg（2 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2.5kg（2 个）共 12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57</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拉筋斜板（踝关节矫正板）</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踝关节矫正板：370mm×310mm×100mm～210mm（允许偏差±10cm）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58</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可调式磨砂板及附件</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一、产品组成</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由台板、角度调节装置、底架、附件组成。</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二、主要技术指标和参数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外形尺寸（长×宽×高）：101cm×81cm×82cm（允许偏差±5cm）（不含附件）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沙磨板面积：97×77cm（允许偏差±5cm）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沙磨板角度调节范围：0 °~50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附件：砂磨斗、摇磨具、单手推板、单手磨具，各 1 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外表面主体框架为优质钢材表面静电喷涂，金属表面加工无毛刺、锐角和机械损伤。</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涂层应平整光滑，色泽均匀，无气泡、皱纹、流挂、脱皮、粘附污物及漏涂现象。 镀层应平整光滑，色泽均匀，无针孔 起泡、斑点、氧化脱落及漏镀现象。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焊缝表面应平整，不得有裂缝、气孔、弧坑、夹渣严重咬边、凹凸不平及未焊透、焊穿 现象。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所有可触及管端  所有可触及管端应有部件或管塞封住。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稳定性  自力式器械应着地平稳，脚底与水平面的差值小于 2mm，并在使用中不应产生晃动。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符合《可调式沙磨板及附件技术条件》规定的要求。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4"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59</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手功能组合训练箱（木插板）</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规格(cm)：60×29×21~30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用途：作业治疗用具，将木棒准确插到位，训练患者眼一手协调功能。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60</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光面大龙球（瑜伽球）</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个</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尺寸 55cm±5cm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61</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滚筒</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个</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产品尺寸： ￠40×80cm（允许偏差±5cm）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 xml:space="preserve">额定载荷 </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100kg。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4"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62</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橡筋手指训练器</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外形尺寸/cm：61×42×50（允许偏差±5cm）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搁手垫尺寸/cm ：57×22（允许偏差±5cm）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橡筋框尺寸/cm ：53×38（允许偏差±5cm）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橡筋拉伸长度/cm：10～15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橡筋框额定承载：</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450N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8"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63</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明尼苏达手工灵巧测试套件</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Style w:val="7"/>
                <w:rFonts w:hint="eastAsia" w:ascii="仿宋_GB2312" w:hAnsi="仿宋_GB2312" w:eastAsia="仿宋_GB2312" w:cs="仿宋_GB2312"/>
                <w:b w:val="0"/>
                <w:bCs w:val="0"/>
                <w:sz w:val="21"/>
                <w:szCs w:val="21"/>
                <w:lang w:val="en-US" w:eastAsia="zh-CN" w:bidi="ar"/>
              </w:rPr>
            </w:pPr>
            <w:r>
              <w:rPr>
                <w:rStyle w:val="7"/>
                <w:rFonts w:hint="eastAsia" w:ascii="仿宋_GB2312" w:hAnsi="仿宋_GB2312" w:eastAsia="仿宋_GB2312" w:cs="仿宋_GB2312"/>
                <w:b w:val="0"/>
                <w:bCs w:val="0"/>
                <w:sz w:val="21"/>
                <w:szCs w:val="21"/>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left"/>
              <w:textAlignment w:val="top"/>
              <w:rPr>
                <w:rStyle w:val="7"/>
                <w:rFonts w:hint="eastAsia" w:ascii="仿宋_GB2312" w:hAnsi="仿宋_GB2312" w:eastAsia="仿宋_GB2312" w:cs="仿宋_GB2312"/>
                <w:b w:val="0"/>
                <w:bCs w:val="0"/>
                <w:sz w:val="21"/>
                <w:szCs w:val="21"/>
                <w:lang w:val="en-US" w:eastAsia="zh-CN" w:bidi="ar"/>
              </w:rPr>
            </w:pPr>
            <w:r>
              <w:rPr>
                <w:rStyle w:val="7"/>
                <w:rFonts w:hint="eastAsia" w:ascii="仿宋_GB2312" w:hAnsi="仿宋_GB2312" w:eastAsia="仿宋_GB2312" w:cs="仿宋_GB2312"/>
                <w:b w:val="0"/>
                <w:bCs w:val="0"/>
                <w:sz w:val="21"/>
                <w:szCs w:val="21"/>
                <w:lang w:val="en-US" w:eastAsia="zh-CN" w:bidi="ar"/>
              </w:rPr>
              <w:t>拼装折叠板长度：858mm±5mm</w:t>
            </w:r>
          </w:p>
          <w:p>
            <w:pPr>
              <w:keepNext w:val="0"/>
              <w:keepLines w:val="0"/>
              <w:widowControl/>
              <w:suppressLineNumbers w:val="0"/>
              <w:jc w:val="left"/>
              <w:textAlignment w:val="top"/>
              <w:rPr>
                <w:rStyle w:val="7"/>
                <w:rFonts w:hint="eastAsia" w:ascii="仿宋_GB2312" w:hAnsi="仿宋_GB2312" w:eastAsia="仿宋_GB2312" w:cs="仿宋_GB2312"/>
                <w:b w:val="0"/>
                <w:bCs w:val="0"/>
                <w:sz w:val="21"/>
                <w:szCs w:val="21"/>
                <w:lang w:val="en-US" w:eastAsia="zh-CN" w:bidi="ar"/>
              </w:rPr>
            </w:pPr>
            <w:r>
              <w:rPr>
                <w:rStyle w:val="7"/>
                <w:rFonts w:hint="eastAsia" w:ascii="仿宋_GB2312" w:hAnsi="仿宋_GB2312" w:eastAsia="仿宋_GB2312" w:cs="仿宋_GB2312"/>
                <w:b w:val="0"/>
                <w:bCs w:val="0"/>
                <w:sz w:val="21"/>
                <w:szCs w:val="21"/>
                <w:lang w:val="en-US" w:eastAsia="zh-CN" w:bidi="ar"/>
              </w:rPr>
              <w:t>拼装折叠板宽度：223mm±5mm</w:t>
            </w:r>
          </w:p>
          <w:p>
            <w:pPr>
              <w:keepNext w:val="0"/>
              <w:keepLines w:val="0"/>
              <w:widowControl/>
              <w:suppressLineNumbers w:val="0"/>
              <w:jc w:val="left"/>
              <w:textAlignment w:val="top"/>
              <w:rPr>
                <w:rStyle w:val="7"/>
                <w:rFonts w:hint="eastAsia" w:ascii="仿宋_GB2312" w:hAnsi="仿宋_GB2312" w:eastAsia="仿宋_GB2312" w:cs="仿宋_GB2312"/>
                <w:b w:val="0"/>
                <w:bCs w:val="0"/>
                <w:sz w:val="21"/>
                <w:szCs w:val="21"/>
                <w:lang w:val="en-US" w:eastAsia="zh-CN" w:bidi="ar"/>
              </w:rPr>
            </w:pPr>
            <w:r>
              <w:rPr>
                <w:rStyle w:val="7"/>
                <w:rFonts w:hint="eastAsia" w:ascii="仿宋_GB2312" w:hAnsi="仿宋_GB2312" w:eastAsia="仿宋_GB2312" w:cs="仿宋_GB2312"/>
                <w:b w:val="0"/>
                <w:bCs w:val="0"/>
                <w:sz w:val="21"/>
                <w:szCs w:val="21"/>
                <w:lang w:val="en-US" w:eastAsia="zh-CN" w:bidi="ar"/>
              </w:rPr>
              <w:t>拼装折叠板厚度：</w:t>
            </w:r>
            <w:r>
              <w:rPr>
                <w:rStyle w:val="8"/>
                <w:rFonts w:hint="eastAsia" w:ascii="仿宋_GB2312" w:hAnsi="仿宋_GB2312" w:eastAsia="仿宋_GB2312" w:cs="仿宋_GB2312"/>
                <w:b w:val="0"/>
                <w:bCs w:val="0"/>
                <w:sz w:val="21"/>
                <w:szCs w:val="21"/>
                <w:lang w:val="en-US" w:eastAsia="zh-CN" w:bidi="ar"/>
              </w:rPr>
              <w:t>≧</w:t>
            </w:r>
            <w:r>
              <w:rPr>
                <w:rStyle w:val="7"/>
                <w:rFonts w:hint="eastAsia" w:ascii="仿宋_GB2312" w:hAnsi="仿宋_GB2312" w:eastAsia="仿宋_GB2312" w:cs="仿宋_GB2312"/>
                <w:b w:val="0"/>
                <w:bCs w:val="0"/>
                <w:sz w:val="21"/>
                <w:szCs w:val="21"/>
                <w:lang w:val="en-US" w:eastAsia="zh-CN" w:bidi="ar"/>
              </w:rPr>
              <w:t>5mm</w:t>
            </w:r>
          </w:p>
          <w:p>
            <w:pPr>
              <w:keepNext w:val="0"/>
              <w:keepLines w:val="0"/>
              <w:widowControl/>
              <w:suppressLineNumbers w:val="0"/>
              <w:jc w:val="left"/>
              <w:textAlignment w:val="top"/>
              <w:rPr>
                <w:rStyle w:val="7"/>
                <w:rFonts w:hint="eastAsia" w:ascii="仿宋_GB2312" w:hAnsi="仿宋_GB2312" w:eastAsia="仿宋_GB2312" w:cs="仿宋_GB2312"/>
                <w:b w:val="0"/>
                <w:bCs w:val="0"/>
                <w:sz w:val="21"/>
                <w:szCs w:val="21"/>
                <w:lang w:val="en-US" w:eastAsia="zh-CN" w:bidi="ar"/>
              </w:rPr>
            </w:pPr>
            <w:r>
              <w:rPr>
                <w:rStyle w:val="7"/>
                <w:rFonts w:hint="eastAsia" w:ascii="仿宋_GB2312" w:hAnsi="仿宋_GB2312" w:eastAsia="仿宋_GB2312" w:cs="仿宋_GB2312"/>
                <w:b w:val="0"/>
                <w:bCs w:val="0"/>
                <w:sz w:val="21"/>
                <w:szCs w:val="21"/>
                <w:lang w:val="en-US" w:eastAsia="zh-CN" w:bidi="ar"/>
              </w:rPr>
              <w:t>拼装折叠板孔径：38mm±3mm</w:t>
            </w:r>
          </w:p>
          <w:p>
            <w:pPr>
              <w:keepNext w:val="0"/>
              <w:keepLines w:val="0"/>
              <w:widowControl/>
              <w:suppressLineNumbers w:val="0"/>
              <w:jc w:val="left"/>
              <w:textAlignment w:val="top"/>
              <w:rPr>
                <w:rStyle w:val="7"/>
                <w:rFonts w:hint="eastAsia" w:ascii="仿宋_GB2312" w:hAnsi="仿宋_GB2312" w:eastAsia="仿宋_GB2312" w:cs="仿宋_GB2312"/>
                <w:b w:val="0"/>
                <w:bCs w:val="0"/>
                <w:sz w:val="21"/>
                <w:szCs w:val="21"/>
                <w:lang w:val="en-US" w:eastAsia="zh-CN" w:bidi="ar"/>
              </w:rPr>
            </w:pPr>
            <w:r>
              <w:rPr>
                <w:rStyle w:val="7"/>
                <w:rFonts w:hint="eastAsia" w:ascii="仿宋_GB2312" w:hAnsi="仿宋_GB2312" w:eastAsia="仿宋_GB2312" w:cs="仿宋_GB2312"/>
                <w:b w:val="0"/>
                <w:bCs w:val="0"/>
                <w:sz w:val="21"/>
                <w:szCs w:val="21"/>
                <w:lang w:val="en-US" w:eastAsia="zh-CN" w:bidi="ar"/>
              </w:rPr>
              <w:t>棋子直径：37.5mm±2mm</w:t>
            </w:r>
          </w:p>
          <w:p>
            <w:pPr>
              <w:keepNext w:val="0"/>
              <w:keepLines w:val="0"/>
              <w:widowControl/>
              <w:suppressLineNumbers w:val="0"/>
              <w:jc w:val="left"/>
              <w:textAlignment w:val="top"/>
              <w:rPr>
                <w:rStyle w:val="7"/>
                <w:rFonts w:hint="eastAsia" w:ascii="仿宋_GB2312" w:hAnsi="仿宋_GB2312" w:eastAsia="仿宋_GB2312" w:cs="仿宋_GB2312"/>
                <w:b w:val="0"/>
                <w:bCs w:val="0"/>
                <w:sz w:val="21"/>
                <w:szCs w:val="21"/>
                <w:lang w:val="en-US" w:eastAsia="zh-CN" w:bidi="ar"/>
              </w:rPr>
            </w:pPr>
            <w:r>
              <w:rPr>
                <w:rStyle w:val="7"/>
                <w:rFonts w:hint="eastAsia" w:ascii="仿宋_GB2312" w:hAnsi="仿宋_GB2312" w:eastAsia="仿宋_GB2312" w:cs="仿宋_GB2312"/>
                <w:b w:val="0"/>
                <w:bCs w:val="0"/>
                <w:sz w:val="21"/>
                <w:szCs w:val="21"/>
                <w:lang w:val="en-US" w:eastAsia="zh-CN" w:bidi="ar"/>
              </w:rPr>
              <w:t>棋子高度：18mm±2mm</w:t>
            </w:r>
          </w:p>
          <w:p>
            <w:pPr>
              <w:keepNext w:val="0"/>
              <w:keepLines w:val="0"/>
              <w:widowControl/>
              <w:suppressLineNumbers w:val="0"/>
              <w:jc w:val="left"/>
              <w:textAlignment w:val="top"/>
              <w:rPr>
                <w:rStyle w:val="7"/>
                <w:rFonts w:hint="eastAsia" w:ascii="仿宋_GB2312" w:hAnsi="仿宋_GB2312" w:eastAsia="仿宋_GB2312" w:cs="仿宋_GB2312"/>
                <w:b w:val="0"/>
                <w:bCs w:val="0"/>
                <w:sz w:val="21"/>
                <w:szCs w:val="21"/>
                <w:lang w:val="en-US" w:eastAsia="zh-CN" w:bidi="ar"/>
              </w:rPr>
            </w:pPr>
            <w:r>
              <w:rPr>
                <w:rStyle w:val="7"/>
                <w:rFonts w:hint="eastAsia" w:ascii="仿宋_GB2312" w:hAnsi="仿宋_GB2312" w:eastAsia="仿宋_GB2312" w:cs="仿宋_GB2312"/>
                <w:b w:val="0"/>
                <w:bCs w:val="0"/>
                <w:sz w:val="21"/>
                <w:szCs w:val="21"/>
                <w:lang w:val="en-US" w:eastAsia="zh-CN" w:bidi="ar"/>
              </w:rPr>
              <w:t>棋子颜色：双面双色，其中一面为黑色，一面为红色</w:t>
            </w:r>
          </w:p>
          <w:p>
            <w:pPr>
              <w:keepNext w:val="0"/>
              <w:keepLines w:val="0"/>
              <w:widowControl/>
              <w:suppressLineNumbers w:val="0"/>
              <w:jc w:val="left"/>
              <w:textAlignment w:val="top"/>
              <w:rPr>
                <w:rFonts w:hint="eastAsia" w:ascii="仿宋_GB2312" w:hAnsi="仿宋_GB2312" w:eastAsia="仿宋_GB2312" w:cs="仿宋_GB2312"/>
                <w:b w:val="0"/>
                <w:bCs w:val="0"/>
                <w:i w:val="0"/>
                <w:iCs w:val="0"/>
                <w:color w:val="000000"/>
                <w:sz w:val="21"/>
                <w:szCs w:val="21"/>
                <w:u w:val="none"/>
              </w:rPr>
            </w:pPr>
            <w:r>
              <w:rPr>
                <w:rStyle w:val="7"/>
                <w:rFonts w:hint="eastAsia" w:ascii="仿宋_GB2312" w:hAnsi="仿宋_GB2312" w:eastAsia="仿宋_GB2312" w:cs="仿宋_GB2312"/>
                <w:b w:val="0"/>
                <w:bCs w:val="0"/>
                <w:sz w:val="21"/>
                <w:szCs w:val="21"/>
                <w:lang w:val="en-US" w:eastAsia="zh-CN" w:bidi="ar"/>
              </w:rPr>
              <w:t>便携箱规格：34*26*16cm（允许偏差±5cm）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64</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九孔插板</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测试基座材质：环保实木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测试基座尺寸：125*125*40mm（允许偏差±5cm）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测试基座孔数量：9个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测试基座孔直径：6.6mm±2mm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测试基座孔深度：22mm±2mm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木钉材质：实木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木钉直径：5.9mm±2mm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木钉高度：40mm±2mm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木钉仓储室数量：2个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木钉仓储室盖板原理：中位锁定式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木钉仓储室存放数量：7根（单室），14根（双室）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1"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65</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分指板</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6</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1、参考规格尺寸（长宽高cm）：大22.2×22.2×3;中20.6×20.6×2.7;小19.2×19.2×2.7；三种规格可任选其一</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2、分指板间距离（cm） 大2.6；中2.25；小1.6；</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3、结构形式：指板、底板</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4、材质：木质防止和矫正手指痉挛畸形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66</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木钉板</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60×29×21～30cm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插棒规格:2.5X10；1.8x9；1.3x8</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数量:10、14、18</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用途:作业治疗用具,将木棒准确插到位,训练患者眼一手协调功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1"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67</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手指阶梯</w:t>
            </w:r>
          </w:p>
        </w:tc>
        <w:tc>
          <w:tcPr>
            <w:tcW w:w="344" w:type="pct"/>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35×13×45cm（允许偏差±5cm）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阶梯台间2cm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通过改善手指关节活动范围，训练手指主动运动的灵活性、协调性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68</w:t>
            </w:r>
          </w:p>
        </w:tc>
        <w:tc>
          <w:tcPr>
            <w:tcW w:w="2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机能实验室2间</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C404-405</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集成化一体机生物信号采集处理系统</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8</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套</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1.硬件技术参数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1.1设备集成平台外形尺寸:650mm（L）*780mm(w)*2250mm(H) 误差≤10mm，长宽高</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1.2实验操作平台外形尺寸：1400mm（L）*740mm(w)*750mm(H) 误差≤10mm，长宽高</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1.3具有分项设备与节能独立控制模块，一键式操作。</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1.4输液架离台面高度：≤1200mm，输液架移动范围：两侧≤660mm。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1.5实验台面材质：ABS工程塑料。</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1.6实验台面下屏蔽层材质：铜网，可与外部接地端相连接，尺寸：1350mm×720mm×0.3mm（长*宽*高）。</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1.7分体式操作平台及设备集成平台：分别带4个自锁式万向移动滚轮，平台可分别独立移动。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1.8内置呼吸机潮气量： 0.2~90ml，呼吸比：1:9-9:1，81种呼吸比，5寸触摸液晶屏，6KPa过压保护。</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1.9小动物肛温测量精度：±0.1℃。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1.10音响系统：额定功率：不小于3W,峰值功率不小于5W。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1.11实验照明系统：分组开关4×20W，自然光LED灯。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1.12外部接口：不少于3个USB接口，1个网线接口，8个220V电源插口，一个HDMI接口。</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1.13摄像系统:品牌4K摄像机，光学防抖，不小于1920x1080分辨率，WIFI功能，触屏操作等。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1.14电脑系统：不低于 Wifi+蓝牙酷睿，Win11 i5-12400 ，16G ，256G+1T ，23英寸显示器，分辨率</w:t>
            </w:r>
            <w:r>
              <w:rPr>
                <w:rFonts w:hint="eastAsia" w:ascii="仿宋_GB2312" w:hAnsi="仿宋_GB2312" w:eastAsia="仿宋_GB2312" w:cs="仿宋_GB2312"/>
                <w:i w:val="0"/>
                <w:iCs w:val="0"/>
                <w:color w:val="000000"/>
                <w:kern w:val="0"/>
                <w:sz w:val="21"/>
                <w:szCs w:val="21"/>
                <w:u w:val="none"/>
                <w:lang w:val="en-US" w:eastAsia="zh-CN" w:bidi="ar"/>
              </w:rPr>
              <w:t>≥</w:t>
            </w:r>
            <w:r>
              <w:rPr>
                <w:rFonts w:hint="eastAsia" w:ascii="仿宋_GB2312" w:hAnsi="仿宋_GB2312" w:eastAsia="仿宋_GB2312" w:cs="仿宋_GB2312"/>
                <w:b w:val="0"/>
                <w:bCs w:val="0"/>
                <w:i w:val="0"/>
                <w:iCs w:val="0"/>
                <w:color w:val="000000"/>
                <w:kern w:val="0"/>
                <w:sz w:val="21"/>
                <w:szCs w:val="21"/>
                <w:u w:val="none"/>
                <w:lang w:val="en-US" w:eastAsia="zh-CN" w:bidi="ar"/>
              </w:rPr>
              <w:t>1920*1080。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2.软件技术参数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2.1具有4个通道，所有通道均为多功能全程控隔离型放大器。每一通道的放大器均可作生物电放大器、血压放大器、桥式放大器使用，还可作肺量计、温度计等。且每个通道拥有独立的硬件模块。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2.2采用高精度16位A/D转换芯片，单通道硬件最高采样率不小于1000KHz。硬件最低采样率0.01Hz。四通道连续采样时最高采样频率不小于200kHz ，且实时采样的过程中可以根据需要来改变采样率。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放大器输入电阻≥100MΩ（双端输入）及50MΩ（单端输入）、共模抑制比≥100dB、噪音≤±1μＶ6.交、直流具有相同的增益：量程500mv、200mv、100mv、50mv、20mv、10mv、5mv、2mv、1mv、500uV、200uV、100uV、50uV、20uV、10uV档可调；可直接输入10V电信号而放大器不饱和。</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2.4低通滤波（硬件）：0.3 Hz、 3 Hz 、10Hz、30Hz、100Hz、500Hz、1kHz、3kHz、10 kHz、OFF（20kHz）。具有5阶以上的滤波方式。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2.5时间常数（硬件）：0.001s、0.002s、0.02s、0.2s、1s、5s、DC。</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2.6光电隔离程控刺激器：具备单刺激、串单刺激、连续单刺激、双刺激、串双刺激、连续双刺激、定时刺激、强度递增刺激、频率递增刺激、波宽递增刺激、强间隔递增刺激、自动串双刺激等刺激模式。最大负载电流：10 mA、具备正电流、负电流输出方式，具有恒流刺激、恒压刺激输出两种方式，内置刺激器幅度：50V，步长：1mV，波宽：2000ms，步长：0.01ms。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2.7实时采样的过程中可以根据需要来改变采样率。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硬件系统包含ECG全导联导联卡，导联切换方式可程控,心率自动测量，心率区域测量，时间-心率曲线图，时间-心率曲线图（区域），时间-（r-r）间期曲线图，时间-（r-r）间期曲线图（区域），（hrv）心率变异性分析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2.9软件集成专用药理分析工具箱，集成多种药理分析工具：PA2的计算， 使用Bliss法完成的LD50计算，t检验计算，回归分析等。具备心电自动统计分析功能。具备心率变异性（HRV）分析功能。具备心肌细胞动作电位、LTP、脑电、细胞及神经放电的专用测量分析功能。具备心电、血压、心室内压、脉搏、呼吸等动态自动测量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2.10具有二维和三维频谱分析功能，可开展胃肠电的研究工作。</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2.11文件恢复功能：可将文件恢复，实验数据可自定义备份时间，需要时可恢复未保存或文件损坏的实验数据。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2.12支持智能设备管理系统：无线控制，实时显示在线或离线状态，支持管理小动物足趾容积测量仪，大小鼠转棒式疲劳仪，小动物呼吸机，大小鼠抓力仪，智能热板仪, 小动物节律监测系统,大小鼠糖水偏好测量系统，大小鼠饮食饮水监测系统等。投标文件中需提供软件功能截图证明。</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2.13具有平台后台管理的功能，能够进行后台的相关操作。</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2.14设备管理功能：实验项目，仪器管理，设备状态，基本设置，实验数据，实验查询等。支持任意时间添加或删除设备以及数据自动上传等（使用方需配置服务器），能够进行二微码查询中国商品条码系统序列号，需提供证书及软件截图证明。</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2.15项目登记：实验编号，实验名称，实验室名称，位置，课程名称，课程编号，实验类别，实验人数，实验次数，每组人数，计划学时，实际学时，实验要求，登记日期，单位名称，实验简介等。投标文件中需提供软件功能截图证明；</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2.16仪器维修功能：维修日期，条形码，仪器名称，仪器型号，损坏原因，维修详情，维修结果，维修费用，经办人等。投标文件中需提供软件功能截图证明；</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2.17肌肉神经类实验项目：刺激强度对骨骼肌收缩的影响，刺激频率对骨骼肌收缩的影响，刺激强度与反应的关系刺激频率与反应的关系，神经干动作电位，，神经干兴奋传导速度的测定，神经干兴奋不应期的测定，神经干兴奋不应期的自动测定肌肉兴奋--收缩时相关系，神经干动作电位、肌电、肌肉收缩；</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2.18循环实验类项目：蛙心灌流，期前收缩--代偿间歇，心电图，全导联心电图，心肌细胞动作电位，心肌细胞动作电位与心电图的同步记录心房和心室冲动传导，免减压神经放电，兔动脉血压调节，静脉压测定，血流动力学，脉搏，心音，大白鼠无创尾动脉血压测定，离休家免心脏Langendorf灌流</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2.19呼吸类实验项目：膈神经放电，呼吸运动调节，膈肌放电，膈肌放电与呼吸运动同步记录呼吸力学指标测定</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2.20消化类实验项目：消化道平滑肌的生理特性，消化道平滑肌电活动，消化道平滑肌电活动和苯海拉明的拮抗参数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2.21感官器官类实验项目：肌梭放电，耳蜗生物电活动，豚鼠耳蜗微音器电位</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2.22中枢神经类实验项目：大脑皮层诱发电位，中枢神经元单位放电，脑电图，</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2.23药理学专用实验项目：乙酰胆碱对蛙腹直肌作用的量效关系，传出神经系统药对动物血压和心率的影响(免)传出神经系统药对家免离体肠肌的影响，尼可刹米对抗吗啡的呼吸抑制(兔)，钙通道拮抗药对血管平滑肌的作用(兔)强心苷对离体蛙心的作用，硝普钠的降压作用，利尿药的利尿作用，心律失常分析，心功能测定，心电监测，药物对兔坐骨神经-胫骨前肌的作用，Nikethamide对抗dolantin抑制呼吸作用药物对离体豚鼠回肠的作用，离体大鼠主动脉环实验，离体豚鼠气管平滑肌实验，子官兴奋药对离体大鼠子高的作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2.24病理生理学实验项目：高钾血症，急性左心衰，肠系膜上动脉闭塞性休克，呼吸运动的影响因素和急性呼吸功能不全尿生成的影响因素和急性肾功能不全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2.25动物缺氧综合实验项目：动物缺氧综合实验，打开独立缺氧窗口</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2.26综合实验项目：减压神经放电与心电图，血压同步；并可根据用户需要自行无线扩展实验项目（自定义参数）。标配羊，猪，犬，牛，鸡尸体检剖以及脱水，微生物与中毒材料仿真实验。需提供完整的软件操作步骤截图文件证明。</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3.配置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3.1可移动设备集成平台一台。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3.2可移动实验操作平台一台。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3.3集成式小动物呼吸机一台。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3.4集成式动物肛温检测系统一套。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3.5实时摄像系统一台。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3.6手术照明系统一套。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3.7输液架一套。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3.8品牌电脑一台；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3.9兔恒温实验台。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3.91一体化设计成型，合金材质（非注塑/abs材质），可全身水洗，止扣式捆绑，方便重复使用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3.92贴片式控温系统，范围：室温——50℃，误差：±0.1℃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3.93自动恒温加热功能，实时显示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3.94整体外形尺寸：670×340×100mm（允许偏差±10mm）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3.95加热区域尺寸：670mm*340mm（允许偏差±10mm）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3.96废液收集量：300ml，废液盒隐藏式设计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3.97输液架高度：500-1150mm可调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3.98支持前肢背部交叉固定、动物适用范围：2KG-5KG</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3.10 PVC鼠解剖台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3.11智能设备管理系统软件一套。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3.12医学信号采集处理系统一台。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3.13医学信号采集处理系统软件一套。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3.14ZL-22J动物附件包一套（双线电极，一个保护电极，一个悬浮电极，一个神经引导电极，一个锌 铜 弓，一个兔气管插管，一个鼠气管插管一个，8个蛙钉，2个蛙心夹，血压夹持器一个，兔动静脉插管一个，鼠动静脉插管，一个大小动脉夹各1个，蛙心插管一根，玻璃分针2个，双凹夹一个，三通一个，木制蛙板，一个尿滴受滴器，一个探针一根，二维调节器一个，张力换能器一个，血压换能器一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4.售后服务：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4.1技术工程师现场安装、调试；免费人员培训。</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4.2整机保修期1年。软件终身维护。</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4.3 接到报修电话后1小时之内响应，4小时内到现场。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4"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69</w:t>
            </w:r>
          </w:p>
        </w:tc>
        <w:tc>
          <w:tcPr>
            <w:tcW w:w="2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解剖实训室</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储物柜</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32</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面</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尺寸：高1800*宽900*深400mm（允许偏差±10mm）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材质：实木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2"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70</w:t>
            </w:r>
          </w:p>
        </w:tc>
        <w:tc>
          <w:tcPr>
            <w:tcW w:w="23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药学基础实训室（2</w:t>
            </w:r>
          </w:p>
        </w:tc>
        <w:tc>
          <w:tcPr>
            <w:tcW w:w="377" w:type="pct"/>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通风橱</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㈠、外形尺寸：长1500*宽850*高2450mm（允许偏差±5cm）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㈡、主要技术参数及性能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1、技术参数：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1）面风速： 0.3 ～0.5M/S；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2）操作门开启高度：0 ～ 750mm；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3）照明：20w*2日光灯；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4）电压：220V、380V；</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5）噪音：52 ~ 62db；2、性能说明：</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1）通风柜玻璃门操作窗根据实验操作垂直升降，实验操作者可通过透明的玻璃安全监测窗口，观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察到柜内的实验情况，以保证实验的准确和操作人员的安全；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2）电控系统功能面板设计在通风柜的侧立柱上，并设有风机激活停止按钮、电动风阀开关按钮、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照明按钮，插座及超载保护开关必须设计在下箱体前面板上（方便检修及操作），当电流超负荷或</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线路短路时超载保护开关自行切断。</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3）通风柜玻璃门平衡配重铁设计在通风柜的前立柱上，方便检修及科学有限地利用操作空间。</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㈢、材料说明：</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1、通风柜上箱</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①、上箱侧板、后板、前饰板：全部采用“上海宝钢”1.2mm优质冷轧钢板加工制作，金属表面环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氧树脂粉末喷涂。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②、导流板、内衬板：采用进口5mm厚抗倍特理化板，多风道设计；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③、顶板、出风口：采用高分子树脂材料摸具成型，厚8mm；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④、玻璃操作门：采用铝型材组合框架，视窗采用5mm钢化玻璃；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⑤、传动：滑轮组采用多个滑轮组组合设计，滑轮为尼龙材料，支架为金属材料。</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2、通风柜基箱</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①、基箱：为落地钢塑组合。基箱框架及侧板，采用1.2mm厚优质冷轧板数控扎弯加工而成。金属</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经表面经酸洗、磷化等化学处理后表面环氧树脂静电粉沫喷涂。基箱底板及背板，采用防腐蚀12mm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厚A级PVC板制作，可存放各种酸碱物品。</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②、门面板：采用1.2mm厚的优质冷轧钢板加工制作，内外板夹层内填充缓冲、吸音材料，表面环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氧树脂静电粉沫喷涂，并设置腐蚀药品标志。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③、拉手：采用铝合金专用内凹拉手，表面磨砂，两端配置塑胶堵盖。</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④、铰链：采用铰链表面经电镀处理，开口角度为175度；</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⑤、地脚：地脚采用不锈钢螺丝、尼龙罩盖、橡胶底座组合结构,调节高度0-30mm。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3、台面</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台面采用25mm环氧树脂板加工制作。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71</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三用紫外线分析仪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1、紫外波长：254nm、365nm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2、紫外滤光片尺寸：50mm×200mm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3、电源：AC220V±10%   50Hz；灯管管压：50V±10V</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4、仪器功率：24w；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7"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72</w:t>
            </w:r>
          </w:p>
        </w:tc>
        <w:tc>
          <w:tcPr>
            <w:tcW w:w="23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仪器室</w:t>
            </w:r>
          </w:p>
        </w:tc>
        <w:tc>
          <w:tcPr>
            <w:tcW w:w="377" w:type="pct"/>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紫外可见分光光度计</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8</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波长范围：325-1100nm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工作方式：T，A，C，E</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光学系统：自准式，1200 线/毫米全息衍射光栅</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调零方式：自动调100%T及0%T</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光谱带宽：2nm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界面显示：128*64图形液晶，中文菜单</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波长精度：±0.8nm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杂散光：≤0.05%T @360nm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波长重复性：±0.3nm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稳定性：±0.001A/hr@500nm，0A</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波长设置：自动，最小分辨率0.1nm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通讯接口：USB接口，可选配内置打印机和软件</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光度精度：±0.004A@1A±0.5%T</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光源：进口卤钨灯</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光度重复性：±0.002A@1A±0.2%T</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检测器：进口硅光二极管</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光度范围：</w:t>
            </w:r>
            <w:r>
              <w:rPr>
                <w:rStyle w:val="6"/>
                <w:rFonts w:hint="eastAsia" w:ascii="仿宋_GB2312" w:hAnsi="仿宋_GB2312" w:eastAsia="仿宋_GB2312" w:cs="仿宋_GB2312"/>
                <w:b w:val="0"/>
                <w:bCs w:val="0"/>
                <w:sz w:val="21"/>
                <w:szCs w:val="21"/>
                <w:lang w:val="en-US" w:eastAsia="zh-CN" w:bidi="ar"/>
              </w:rPr>
              <w:softHyphen/>
            </w:r>
            <w:r>
              <w:rPr>
                <w:rStyle w:val="4"/>
                <w:rFonts w:hint="eastAsia" w:ascii="仿宋_GB2312" w:hAnsi="仿宋_GB2312" w:eastAsia="仿宋_GB2312" w:cs="仿宋_GB2312"/>
                <w:b w:val="0"/>
                <w:bCs w:val="0"/>
                <w:sz w:val="21"/>
                <w:szCs w:val="21"/>
                <w:lang w:val="en-US" w:eastAsia="zh-CN" w:bidi="ar"/>
              </w:rPr>
              <w:t>-0.3 to 3A； 0-200%T；-9999-9999C</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外形尺寸：570×460×230mm</w:t>
            </w:r>
            <w:r>
              <w:rPr>
                <w:rFonts w:hint="eastAsia" w:ascii="仿宋_GB2312" w:hAnsi="仿宋_GB2312" w:eastAsia="仿宋_GB2312" w:cs="仿宋_GB2312"/>
                <w:b w:val="0"/>
                <w:bCs w:val="0"/>
                <w:i w:val="0"/>
                <w:iCs w:val="0"/>
                <w:color w:val="000000"/>
                <w:kern w:val="0"/>
                <w:sz w:val="21"/>
                <w:szCs w:val="21"/>
                <w:u w:val="none"/>
                <w:lang w:val="en-US" w:eastAsia="zh-CN" w:bidi="ar"/>
              </w:rPr>
              <w:t>（允许偏差±10mm）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73</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气相色谱1</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 基本要求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 温度要求： 5℃—35℃；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 湿度要求； 25%—80%；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 电源要求： 220V±10%,50Hz；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 功率要求： 最大2500 W；</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 技术要求：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 功能特点：</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2.1.1 载气采用AFC气路控制，辅助气采用AFS（Advanced Flow Scout）监控，气路控制非常灵活；</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2.1.2 可同时支持安装3个进样口，包括填充进样口和分流/不分流毛细进样口等；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2.1.3可同时支持安装3个检测器，包括FID、TCD、FPD、ECD、NPD等，且可依据需求进行组合，实现一机多用，简单分析；</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2.1.4采用彩色大屏幕显示屏显示，人性化的操作界面设计，显示直观、操作简洁，中英文相互切换，满足不同客户需求；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2.1.5通过键盘、反控工作站设定，可同时对8个模块进行温度控制；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2.1.6可安装FL1092自动进样器，实现更高度的自动化，提高数据重复性和精度，提高分析效率；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2.1.7可安装顶空进样器、热解析仪、阀切换系统等。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 主机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2.2.1 温控区：8路独立控温；</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2.2.2 载气控制：EPC/AFC控制，可选择设定载气和尾吹气类型：He、H2、N2和Ar，各载气系统均可实现恒压、恒流、恒速、程序压力、程序流量、程序线速度气体控制模式，并使用He、H2、N2和Ar 4种常规气体进行流量校正。</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 柱箱</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2.3.1 柱箱温度控制：室温上6℃～400℃ (以0.1℃增量任设)；</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2.3.2 温度控制精度：±0.1℃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2.3.3 温度波动：≤±0.1℃（环境温度变化10℃或电源电压变化10％），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温度梯度：±1％（温度范围100℃～350℃）；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2.3.4 程序升温：27阶；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2.3.5 升温速率：0.1～40℃/min（以0.1℃增量任设）；</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2.3.6 降温速率：柱箱温度从200 ℃降至100℃时间不大于3min；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2.3.7 持续运行时间：9999（min）。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 进样系统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2.4.1 最高使用温度：400℃；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2.4.2 进样口数量：最多可配3个；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2.4.3 进样模式：填充进样、分流毛细进样、分流/不分流毛细进样；</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2.4.4程序压力/流量/线速度：最大 8阶；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2.4.5 AFC压力控制精度：0.01psi；</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2.4.6 AFC压力控制范围：0-100psi；</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2.4.7最大分流比：4500:1；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2.4.8总流量范围：0-450mL/min；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2.4.9可选载气类型：N2、H2、He、Ar。</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2.5 检测系统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2.5.1 氢火焰检测器（FID）：</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最高使用温度：400℃；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最小检测限：≤5 × 10-12g/s（正十六烷）</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基线噪音：≤4×10-14A，基线漂移：≤5×10-14A/30min(仪器稳定2小时后)；</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线性动态范围：≥107</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配电子点火功能。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2.6辅助功能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2.6.1 转化炉：用于≤100ppm CO、CO2的甲烷化；</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2.6.2 阀箱：用于进样阀及切换阀的温度控制。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 自动进样器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2.7.1原装进口自动进样器；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2.7.2支持单塔、双塔和大盘位自动进样器；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2.7.3自动进样器位数16位；</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2.7.4支持前后通道同步或异步进样模式；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2.7.5残留/交叉污染＜1/100000；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2.7.6 进样周期≤100ms；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2.7.7可选配搅拌/加热/条码扫描/全盘冷却或加热功能；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2.7.8色谱软件可以反控自动进样器。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 工作站/数据处理软件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2.8.1 中/英文可选， WindowsXP 、Windows 7、 Windows10操作环境运行；</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2.8.2支持多个检测器同时采集：工作站支持3个检测器信号的同时采集；</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2.8.3 信号采集：网络端口连接，信号范围全量程不分档；</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2.8.4自诊断系统：智能化的自诊断系统，自动识别错误操作信息并做出相应的自我保护措施；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2.8.5在线反控功能：实时控制及控制各模块的温度，可随时调出温度控制曲线，包括柱箱、进样口、检测器及辅助加热模块，提高条件摸索效率；可随时调出流量/压力控制曲线，提高条件摸索效率；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2.8.6支持多内标分析；</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2.8.7在线分析预览功能：使得谱图未采集完毕，可提前知道关键组分的含量信息;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2.8.8一键恢复功能：一键调用谱图中的仪器控制参数信息、积分信息，迅速恢复初始设置;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2.8.9 支持模拟进样，提高工作站的培训效率;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2.8.10在线噪声及漂移自动计算，实现标准法、6-Signal法、ASTM法等三种计算方法，更为科学，无需手动计算，规避人为误差;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2.8.11 多项式计算功能：一次曲线校正（y=kx+b）、二次曲线校正（y=ax2+bx+c）、三次曲线校正（y=ax3+bx2+cx+d），提高非一次曲线样品的线性准确度;</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2.8.12 峰锁定功能：减少那些不参与计算的干扰峰对主要组分的谱线或数据干扰，从而使得谱图报告更美观，数据更清晰;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2.8.13 支持分组计算功能，优化组分的合并运算，无需另外手动计算;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2.8.14 独创项目分组功能：在同项目、分析任务可依据需求进行组分或批次分组归档案例，全面简化样品谱图管理;</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2.8.15模块式可定制化报告，支持批量谱图处理和数据分析;</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2.8.16符合GMP“计算机系统”合规性要求;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2.8.17 可选配非甲烷总烃、热值、石油烃、芳烃、含氧化合物、TVOC等专用版工作站。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99"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74</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气相色谱2</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   工作条件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 工作环境温度： 5℃—35℃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 工作环境湿度； 25%—80%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 工作电源： 220V±10%,50Hz2  气相色谱主机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 保留时间重复性＜0.008%</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 峰面积重复性＜1%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 电子流量控制（AFC/EPC）:所有流量、压力均可以电子控制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 压力控制精度：0.001psi</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2.5 可以同时安装两个进样口</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2.6 可以同时安装三个检测器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2.7 除柱温箱外，可提供8路独立直流加热单元</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2.8 具备智能维护跟踪与提醒，可以提示进样垫、衬管等更换时间</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2.9 具备数字化泄漏检测</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2.10 色谱前后通道可实现同步或异步独立控制、操作</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2.11 主机具有电容式触摸屏，屏幕≥8英寸，可访问控制仪器，实时显示仪器状态及各项参数，具有分析启动、停止、预运行物理按键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  柱温箱</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3.1 温度范围：室温+4℃~450℃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3.2 温度设定增量：0.1℃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3.3 温度控制精度: ±0.01℃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3.4 程序升温：32阶33平台，可程序降温</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3.5 最大单阶运行时间：9999min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3.6 最高升温速率：250℃/min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3.7 柱温箱冷却降温（室温 21℃）：从 450℃至50℃＜5.0min（配置增强降温装置时＜3.5min）</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3.8 环境敏感度：环境温度变化1℃，柱箱温度变化＜0.01℃，快速响应环境温度0.1℃变化</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3.9 安全防护：提供双路温控/监测保护机制，确保色谱使用安全性</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  分流/不分流毛细管柱进样口</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4.1 最高使用温度：450℃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4.2 纵向压扣式进样口设计，可实现10秒快速徒手拆卸，方便维护</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4.3 具备独立的分流冷阱和隔垫吹扫捕集阱</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4.4 载气控制模式：恒压力、恒流量、恒线速度、程序压力、程序流量、程序线速度、脉冲进样</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4.5 程序压力/流量/线速度：最大 8阶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4.6 压力控制精度：0.001psi</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4.7 压力控制范围：0-100psi，可选配0-150psi</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4.8 最大分流比：9999:1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4.9流量设定范围：0-1250mL/min（氢气或氦气），0-200mL/min（氮气）</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4.10 具有载气节省模式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  氢火焰检测器（FID）</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6.1宽量程数字化输出，提升线性范围</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6.2最高使用温度：450℃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6.3最低检测限：≤1.2pg C/s（正十六烷）</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6.4动态线性范围：≥107</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6.5具备灭火检测和自动再点火功能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6.6 安全防护：H2流路长期灭火关闭防护</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  自动进样器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10.1支持单塔、双塔和大盘位自动进样器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10.2自动进样器位数16位</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10.3 最小进样量：0.01ul</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10.4支持双塔进样前后通道同步或异步进样模式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10.5残留/交叉污染：＜1/100000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10.6 进样周期：≤100ms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10.7色谱工作站软件可以反控设置自动进样器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  色谱工作站</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11.1工作站运行环境Windows 10/11 64位专业版或企业版操作系统；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11.2工作站可完全反控仪器各项参数；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11.3支持单台电脑最多8台仪器同时控制；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11.4图形化界面，支持多窗口，多任务操作模式；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11.5具备快照预览功能，可在采集谱图过程中提前查看结果；</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11.6支持单针进样、同步序列进样、异步序列进样、手动进样及第三方序列进样模式；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11.7支持进样任务的灵活调度功能，包括进样任务的启动、暂停、取消、重新启动等；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11.8具有日志管理功能，能够开启或关闭日志管理功能，并能通过多种条件组合对日志进行查询；</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11.9支持报告模板的定制化，用户可以根据自己的需求重新设计报告模板，并可以在其他仪器上调用相同的报告模板；</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11.10系统支持客户端自动、手动锁屏功能；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2"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75</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实验室沸腾制粒机</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1、容器直径：400mm±20mm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2、制粒容器体积：</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14.1L</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3、制粒能力：2-5kg</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4、风机功率：</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5.5kw</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5、进风温度控制在常温100℃，控制精度高，可控制在±1℃。</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6、进风管道上设有风速仪，可实时显示进风风量，以方便更直观的风量控制。</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7、过滤室需采用双室结构，抖袋气缸与排风蝶阀分时工作，由PLC控制交替抖袋清灰，时间、频率可设置调节，抖袋气腾缸停机断气后8h内可保持在工作位：</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8、滤袋需采用撑圈式密封，上端通过弹扣悬挂在抖袋架上，下端包裹在撑圈架上，密封效果良好，保证无漏粉问题：滤袋拆装、清洗方便快捷：</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9、设备配置：不小于21寸工业平板</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10.提供批次管理、批次记录和批次报表功能，可追溯已生产料次的详细信息：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11.提供多料次数据组合分析和趋势曲线对比分析功能：12.软件系统具有电子记录电子签名功能：13.设备带有周期维护计划功能，可通过系统提示提前做好设备维护。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76</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压片机</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1、冲头数量</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17</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2、药片最大直径</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20mm</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3、最高转台转速</w:t>
            </w:r>
            <w:r>
              <w:rPr>
                <w:rStyle w:val="5"/>
                <w:rFonts w:hint="eastAsia" w:ascii="仿宋_GB2312" w:hAnsi="仿宋_GB2312" w:eastAsia="仿宋_GB2312" w:cs="仿宋_GB2312"/>
                <w:b w:val="0"/>
                <w:bCs w:val="0"/>
                <w:sz w:val="21"/>
                <w:szCs w:val="21"/>
                <w:lang w:val="en-US" w:eastAsia="zh-CN" w:bidi="ar"/>
              </w:rPr>
              <w:t>≧</w:t>
            </w:r>
            <w:r>
              <w:rPr>
                <w:rStyle w:val="4"/>
                <w:rFonts w:hint="eastAsia" w:ascii="仿宋_GB2312" w:hAnsi="仿宋_GB2312" w:eastAsia="仿宋_GB2312" w:cs="仿宋_GB2312"/>
                <w:b w:val="0"/>
                <w:bCs w:val="0"/>
                <w:sz w:val="21"/>
                <w:szCs w:val="21"/>
                <w:lang w:val="en-US" w:eastAsia="zh-CN" w:bidi="ar"/>
              </w:rPr>
              <w:t>40r/min</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4、最大主压力≧50kn</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5、最大预压力≧10kn</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6、最大产量≧40800pcs/h</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7、噪音&lt;75DB(A)</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8、主电机功率：2.2kw</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9、配有预压装置，压片时排除充填物料内的空气，增加受压时间。</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10、传动系统是安全分隔的独立部件，不会互相污染。</w:t>
            </w:r>
          </w:p>
          <w:p>
            <w:pPr>
              <w:keepNext w:val="0"/>
              <w:keepLines w:val="0"/>
              <w:widowControl/>
              <w:suppressLineNumbers w:val="0"/>
              <w:jc w:val="left"/>
              <w:textAlignment w:val="center"/>
              <w:rPr>
                <w:rStyle w:val="4"/>
                <w:rFonts w:hint="eastAsia" w:ascii="仿宋_GB2312" w:hAnsi="仿宋_GB2312" w:eastAsia="仿宋_GB2312" w:cs="仿宋_GB2312"/>
                <w:b w:val="0"/>
                <w:bCs w:val="0"/>
                <w:sz w:val="21"/>
                <w:szCs w:val="21"/>
                <w:lang w:val="en-US" w:eastAsia="zh-CN" w:bidi="ar"/>
              </w:rPr>
            </w:pPr>
            <w:r>
              <w:rPr>
                <w:rStyle w:val="4"/>
                <w:rFonts w:hint="eastAsia" w:ascii="仿宋_GB2312" w:hAnsi="仿宋_GB2312" w:eastAsia="仿宋_GB2312" w:cs="仿宋_GB2312"/>
                <w:b w:val="0"/>
                <w:bCs w:val="0"/>
                <w:sz w:val="21"/>
                <w:szCs w:val="21"/>
                <w:lang w:val="en-US" w:eastAsia="zh-CN" w:bidi="ar"/>
              </w:rPr>
              <w:t>11、配有转速显示及压力过载停机保护。</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4"/>
                <w:rFonts w:hint="eastAsia" w:ascii="仿宋_GB2312" w:hAnsi="仿宋_GB2312" w:eastAsia="仿宋_GB2312" w:cs="仿宋_GB2312"/>
                <w:b w:val="0"/>
                <w:bCs w:val="0"/>
                <w:sz w:val="21"/>
                <w:szCs w:val="21"/>
                <w:lang w:val="en-US" w:eastAsia="zh-CN" w:bidi="ar"/>
              </w:rPr>
              <w:t>12、屏幕显示主机速度、压片产能等数据显示。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3"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77</w:t>
            </w:r>
          </w:p>
        </w:tc>
        <w:tc>
          <w:tcPr>
            <w:tcW w:w="236"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微生物及寄生虫检验技术</w:t>
            </w:r>
          </w:p>
        </w:tc>
        <w:tc>
          <w:tcPr>
            <w:tcW w:w="37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A303</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3D4145"/>
                <w:sz w:val="21"/>
                <w:szCs w:val="21"/>
                <w:u w:val="none"/>
              </w:rPr>
            </w:pPr>
            <w:r>
              <w:rPr>
                <w:rFonts w:hint="eastAsia" w:ascii="仿宋_GB2312" w:hAnsi="仿宋_GB2312" w:eastAsia="仿宋_GB2312" w:cs="仿宋_GB2312"/>
                <w:b w:val="0"/>
                <w:bCs w:val="0"/>
                <w:i w:val="0"/>
                <w:iCs w:val="0"/>
                <w:color w:val="3D4145"/>
                <w:kern w:val="0"/>
                <w:sz w:val="21"/>
                <w:szCs w:val="21"/>
                <w:u w:val="none"/>
                <w:lang w:val="en-US" w:eastAsia="zh-CN" w:bidi="ar"/>
              </w:rPr>
              <w:t>厌氧培养箱</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3D4145"/>
                <w:sz w:val="21"/>
                <w:szCs w:val="21"/>
                <w:u w:val="none"/>
              </w:rPr>
            </w:pPr>
            <w:r>
              <w:rPr>
                <w:rFonts w:hint="eastAsia" w:ascii="仿宋_GB2312" w:hAnsi="仿宋_GB2312" w:eastAsia="仿宋_GB2312" w:cs="仿宋_GB2312"/>
                <w:b w:val="0"/>
                <w:bCs w:val="0"/>
                <w:i w:val="0"/>
                <w:iCs w:val="0"/>
                <w:color w:val="3D4145"/>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培养室温度范围 室温 +3℃至60℃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温度均匀度 ≤ ±1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温度波动度 ≤ ±0.3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厌氧等级 含氧量≤ 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取样形成厌氧状态时间 s5分钟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取样室形成厌氧方式 真空+气体置换式(99.99%氨气 或氢气5% 二氧化碳 10%氮气85%组成的混合气)</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操作室形成厌氧状态时间 ≤1小时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操作室形成厌氧方式 气体置换式(99.99%氮气 或 氢气5% 二氧化碳10%氮气85%组成的混合气)+微流量控制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操作室厌氧环境维持时间 在停止补充微量混合气体的情况下&gt;12小时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厌氢形成控制方式 手工，按键操作</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培养室内部尺寸W*D*H(cm) 25x19.4x28.5（允许偏差±5cm）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培养室内部容积(L) ≥13</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取样室尺寸W*D*H (cm) 33x23x32（允许偏差±5cm）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操作室尺寸W*D*H (cm) 81.4x66.4x66.8（允许偏差±5cm）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外形尺寸W*D*H (cm) 120x73x137（允许偏差±5cm）</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功率(W) 600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电源  220V 50Hz</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备注 X外部高度(H)含 16.5cm配件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米客户需自备实验用气瓶、气体、减压阀及催化剂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78</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3D4145"/>
                <w:sz w:val="21"/>
                <w:szCs w:val="21"/>
                <w:u w:val="none"/>
              </w:rPr>
            </w:pPr>
            <w:r>
              <w:rPr>
                <w:rFonts w:hint="eastAsia" w:ascii="仿宋_GB2312" w:hAnsi="仿宋_GB2312" w:eastAsia="仿宋_GB2312" w:cs="仿宋_GB2312"/>
                <w:b w:val="0"/>
                <w:bCs w:val="0"/>
                <w:i w:val="0"/>
                <w:iCs w:val="0"/>
                <w:color w:val="3D4145"/>
                <w:kern w:val="0"/>
                <w:sz w:val="21"/>
                <w:szCs w:val="21"/>
                <w:u w:val="none"/>
                <w:lang w:val="en-US" w:eastAsia="zh-CN" w:bidi="ar"/>
              </w:rPr>
              <w:t>厌氧培养罐</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3D4145"/>
                <w:sz w:val="21"/>
                <w:szCs w:val="21"/>
                <w:u w:val="none"/>
              </w:rPr>
            </w:pPr>
            <w:r>
              <w:rPr>
                <w:rFonts w:hint="eastAsia" w:ascii="仿宋_GB2312" w:hAnsi="仿宋_GB2312" w:eastAsia="仿宋_GB2312" w:cs="仿宋_GB2312"/>
                <w:b w:val="0"/>
                <w:bCs w:val="0"/>
                <w:i w:val="0"/>
                <w:iCs w:val="0"/>
                <w:color w:val="3D4145"/>
                <w:kern w:val="0"/>
                <w:sz w:val="21"/>
                <w:szCs w:val="21"/>
                <w:u w:val="none"/>
                <w:lang w:val="en-US" w:eastAsia="zh-CN" w:bidi="ar"/>
              </w:rPr>
              <w:t>3</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9"/>
                <w:rFonts w:hint="eastAsia" w:ascii="仿宋_GB2312" w:hAnsi="仿宋_GB2312" w:eastAsia="仿宋_GB2312" w:cs="仿宋_GB2312"/>
                <w:b w:val="0"/>
                <w:bCs w:val="0"/>
                <w:sz w:val="21"/>
                <w:szCs w:val="21"/>
                <w:lang w:val="en-US" w:eastAsia="zh-CN" w:bidi="ar"/>
              </w:rPr>
              <w:t xml:space="preserve"> </w:t>
            </w:r>
            <w:r>
              <w:rPr>
                <w:rStyle w:val="10"/>
                <w:rFonts w:hint="eastAsia" w:ascii="仿宋_GB2312" w:hAnsi="仿宋_GB2312" w:eastAsia="仿宋_GB2312" w:cs="仿宋_GB2312"/>
                <w:b w:val="0"/>
                <w:bCs w:val="0"/>
                <w:sz w:val="21"/>
                <w:szCs w:val="21"/>
                <w:lang w:val="en-US" w:eastAsia="zh-CN" w:bidi="ar"/>
              </w:rPr>
              <w:t>规格尺寸：</w:t>
            </w:r>
            <w:r>
              <w:rPr>
                <w:rStyle w:val="11"/>
                <w:rFonts w:hint="eastAsia" w:ascii="仿宋_GB2312" w:hAnsi="仿宋_GB2312" w:eastAsia="仿宋_GB2312" w:cs="仿宋_GB2312"/>
                <w:b w:val="0"/>
                <w:bCs w:val="0"/>
                <w:sz w:val="21"/>
                <w:szCs w:val="21"/>
                <w:lang w:val="en-US" w:eastAsia="zh-CN" w:bidi="ar"/>
              </w:rPr>
              <w:t>19.6×13.6×9.6cm</w:t>
            </w:r>
            <w:r>
              <w:rPr>
                <w:rStyle w:val="10"/>
                <w:rFonts w:hint="eastAsia" w:ascii="仿宋_GB2312" w:hAnsi="仿宋_GB2312" w:eastAsia="仿宋_GB2312" w:cs="仿宋_GB2312"/>
                <w:b w:val="0"/>
                <w:bCs w:val="0"/>
                <w:sz w:val="21"/>
                <w:szCs w:val="21"/>
                <w:lang w:val="en-US" w:eastAsia="zh-CN" w:bidi="ar"/>
              </w:rPr>
              <w:t>（允许偏差±5cm），</w:t>
            </w:r>
            <w:r>
              <w:rPr>
                <w:rStyle w:val="11"/>
                <w:rFonts w:hint="eastAsia" w:ascii="仿宋_GB2312" w:hAnsi="仿宋_GB2312" w:eastAsia="仿宋_GB2312" w:cs="仿宋_GB2312"/>
                <w:b w:val="0"/>
                <w:bCs w:val="0"/>
                <w:sz w:val="21"/>
                <w:szCs w:val="21"/>
                <w:lang w:val="en-US" w:eastAsia="zh-CN" w:bidi="ar"/>
              </w:rPr>
              <w:t xml:space="preserve"> </w:t>
            </w:r>
            <w:r>
              <w:rPr>
                <w:rStyle w:val="10"/>
                <w:rFonts w:hint="eastAsia" w:ascii="仿宋_GB2312" w:hAnsi="仿宋_GB2312" w:eastAsia="仿宋_GB2312" w:cs="仿宋_GB2312"/>
                <w:b w:val="0"/>
                <w:bCs w:val="0"/>
                <w:sz w:val="21"/>
                <w:szCs w:val="21"/>
                <w:lang w:val="en-US" w:eastAsia="zh-CN" w:bidi="ar"/>
              </w:rPr>
              <w:t>体积：</w:t>
            </w:r>
            <w:r>
              <w:rPr>
                <w:rStyle w:val="12"/>
                <w:rFonts w:hint="eastAsia" w:ascii="仿宋_GB2312" w:hAnsi="仿宋_GB2312" w:eastAsia="仿宋_GB2312" w:cs="仿宋_GB2312"/>
                <w:b w:val="0"/>
                <w:bCs w:val="0"/>
                <w:sz w:val="21"/>
                <w:szCs w:val="21"/>
                <w:lang w:val="en-US" w:eastAsia="zh-CN" w:bidi="ar"/>
              </w:rPr>
              <w:t>≧</w:t>
            </w:r>
            <w:r>
              <w:rPr>
                <w:rStyle w:val="11"/>
                <w:rFonts w:hint="eastAsia" w:ascii="仿宋_GB2312" w:hAnsi="仿宋_GB2312" w:eastAsia="仿宋_GB2312" w:cs="仿宋_GB2312"/>
                <w:b w:val="0"/>
                <w:bCs w:val="0"/>
                <w:sz w:val="21"/>
                <w:szCs w:val="21"/>
                <w:lang w:val="en-US" w:eastAsia="zh-CN" w:bidi="ar"/>
              </w:rPr>
              <w:t>2.5L</w:t>
            </w:r>
            <w:r>
              <w:rPr>
                <w:rStyle w:val="10"/>
                <w:rFonts w:hint="eastAsia" w:ascii="仿宋_GB2312" w:hAnsi="仿宋_GB2312" w:eastAsia="仿宋_GB2312" w:cs="仿宋_GB2312"/>
                <w:b w:val="0"/>
                <w:bCs w:val="0"/>
                <w:sz w:val="21"/>
                <w:szCs w:val="21"/>
                <w:lang w:val="en-US" w:eastAsia="zh-CN" w:bidi="ar"/>
              </w:rPr>
              <w:t>，</w:t>
            </w:r>
            <w:r>
              <w:rPr>
                <w:rStyle w:val="11"/>
                <w:rFonts w:hint="eastAsia" w:ascii="仿宋_GB2312" w:hAnsi="仿宋_GB2312" w:eastAsia="仿宋_GB2312" w:cs="仿宋_GB2312"/>
                <w:b w:val="0"/>
                <w:bCs w:val="0"/>
                <w:sz w:val="21"/>
                <w:szCs w:val="21"/>
                <w:lang w:val="en-US" w:eastAsia="zh-CN" w:bidi="ar"/>
              </w:rPr>
              <w:t xml:space="preserve"> </w:t>
            </w:r>
            <w:r>
              <w:rPr>
                <w:rStyle w:val="10"/>
                <w:rFonts w:hint="eastAsia" w:ascii="仿宋_GB2312" w:hAnsi="仿宋_GB2312" w:eastAsia="仿宋_GB2312" w:cs="仿宋_GB2312"/>
                <w:b w:val="0"/>
                <w:bCs w:val="0"/>
                <w:sz w:val="21"/>
                <w:szCs w:val="21"/>
                <w:lang w:val="en-US" w:eastAsia="zh-CN" w:bidi="ar"/>
              </w:rPr>
              <w:t>罐体材料：聚碳酸酯，</w:t>
            </w:r>
            <w:r>
              <w:rPr>
                <w:rStyle w:val="11"/>
                <w:rFonts w:hint="eastAsia" w:ascii="仿宋_GB2312" w:hAnsi="仿宋_GB2312" w:eastAsia="仿宋_GB2312" w:cs="仿宋_GB2312"/>
                <w:b w:val="0"/>
                <w:bCs w:val="0"/>
                <w:sz w:val="21"/>
                <w:szCs w:val="21"/>
                <w:lang w:val="en-US" w:eastAsia="zh-CN" w:bidi="ar"/>
              </w:rPr>
              <w:t xml:space="preserve"> </w:t>
            </w:r>
            <w:r>
              <w:rPr>
                <w:rStyle w:val="10"/>
                <w:rFonts w:hint="eastAsia" w:ascii="仿宋_GB2312" w:hAnsi="仿宋_GB2312" w:eastAsia="仿宋_GB2312" w:cs="仿宋_GB2312"/>
                <w:b w:val="0"/>
                <w:bCs w:val="0"/>
                <w:sz w:val="21"/>
                <w:szCs w:val="21"/>
                <w:lang w:val="en-US" w:eastAsia="zh-CN" w:bidi="ar"/>
              </w:rPr>
              <w:t>外观透明，放置</w:t>
            </w:r>
            <w:r>
              <w:rPr>
                <w:rStyle w:val="11"/>
                <w:rFonts w:hint="eastAsia" w:ascii="仿宋_GB2312" w:hAnsi="仿宋_GB2312" w:eastAsia="仿宋_GB2312" w:cs="仿宋_GB2312"/>
                <w:b w:val="0"/>
                <w:bCs w:val="0"/>
                <w:sz w:val="21"/>
                <w:szCs w:val="21"/>
                <w:lang w:val="en-US" w:eastAsia="zh-CN" w:bidi="ar"/>
              </w:rPr>
              <w:t>12</w:t>
            </w:r>
            <w:r>
              <w:rPr>
                <w:rStyle w:val="10"/>
                <w:rFonts w:hint="eastAsia" w:ascii="仿宋_GB2312" w:hAnsi="仿宋_GB2312" w:eastAsia="仿宋_GB2312" w:cs="仿宋_GB2312"/>
                <w:b w:val="0"/>
                <w:bCs w:val="0"/>
                <w:sz w:val="21"/>
                <w:szCs w:val="21"/>
                <w:lang w:val="en-US" w:eastAsia="zh-CN" w:bidi="ar"/>
              </w:rPr>
              <w:t>只标准培养皿</w:t>
            </w:r>
            <w:r>
              <w:rPr>
                <w:rStyle w:val="11"/>
                <w:rFonts w:hint="eastAsia" w:ascii="仿宋_GB2312" w:hAnsi="仿宋_GB2312" w:eastAsia="仿宋_GB2312" w:cs="仿宋_GB2312"/>
                <w:b w:val="0"/>
                <w:bCs w:val="0"/>
                <w:sz w:val="21"/>
                <w:szCs w:val="21"/>
                <w:lang w:val="en-US" w:eastAsia="zh-CN" w:bidi="ar"/>
              </w:rPr>
              <w:t>(</w:t>
            </w:r>
            <w:r>
              <w:rPr>
                <w:rStyle w:val="10"/>
                <w:rFonts w:hint="eastAsia" w:ascii="仿宋_GB2312" w:hAnsi="仿宋_GB2312" w:eastAsia="仿宋_GB2312" w:cs="仿宋_GB2312"/>
                <w:b w:val="0"/>
                <w:bCs w:val="0"/>
                <w:sz w:val="21"/>
                <w:szCs w:val="21"/>
                <w:lang w:val="en-US" w:eastAsia="zh-CN" w:bidi="ar"/>
              </w:rPr>
              <w:t>直径：</w:t>
            </w:r>
            <w:r>
              <w:rPr>
                <w:rStyle w:val="11"/>
                <w:rFonts w:hint="eastAsia" w:ascii="仿宋_GB2312" w:hAnsi="仿宋_GB2312" w:eastAsia="仿宋_GB2312" w:cs="仿宋_GB2312"/>
                <w:b w:val="0"/>
                <w:bCs w:val="0"/>
                <w:sz w:val="21"/>
                <w:szCs w:val="21"/>
                <w:lang w:val="en-US" w:eastAsia="zh-CN" w:bidi="ar"/>
              </w:rPr>
              <w:t>9cm</w:t>
            </w:r>
            <w:r>
              <w:rPr>
                <w:rStyle w:val="13"/>
                <w:rFonts w:hint="eastAsia" w:ascii="仿宋_GB2312" w:hAnsi="仿宋_GB2312" w:eastAsia="仿宋_GB2312" w:cs="仿宋_GB2312"/>
                <w:b w:val="0"/>
                <w:bCs w:val="0"/>
                <w:sz w:val="21"/>
                <w:szCs w:val="21"/>
                <w:lang w:val="en-US" w:eastAsia="zh-CN" w:bidi="ar"/>
              </w:rPr>
              <w:t>±</w:t>
            </w:r>
            <w:r>
              <w:rPr>
                <w:rStyle w:val="11"/>
                <w:rFonts w:hint="eastAsia" w:ascii="仿宋_GB2312" w:hAnsi="仿宋_GB2312" w:eastAsia="仿宋_GB2312" w:cs="仿宋_GB2312"/>
                <w:b w:val="0"/>
                <w:bCs w:val="0"/>
                <w:sz w:val="21"/>
                <w:szCs w:val="21"/>
                <w:lang w:val="en-US" w:eastAsia="zh-CN" w:bidi="ar"/>
              </w:rPr>
              <w:t>2cm)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79</w:t>
            </w:r>
          </w:p>
        </w:tc>
        <w:tc>
          <w:tcPr>
            <w:tcW w:w="23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3D4145"/>
                <w:sz w:val="21"/>
                <w:szCs w:val="21"/>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3D4145"/>
                <w:sz w:val="21"/>
                <w:szCs w:val="21"/>
                <w:u w:val="none"/>
              </w:rPr>
            </w:pPr>
            <w:r>
              <w:rPr>
                <w:rFonts w:hint="eastAsia" w:ascii="仿宋_GB2312" w:hAnsi="仿宋_GB2312" w:eastAsia="仿宋_GB2312" w:cs="仿宋_GB2312"/>
                <w:b w:val="0"/>
                <w:bCs w:val="0"/>
                <w:i w:val="0"/>
                <w:iCs w:val="0"/>
                <w:color w:val="3D4145"/>
                <w:kern w:val="0"/>
                <w:sz w:val="21"/>
                <w:szCs w:val="21"/>
                <w:u w:val="none"/>
                <w:lang w:val="en-US" w:eastAsia="zh-CN" w:bidi="ar"/>
              </w:rPr>
              <w:t>医用冷藏冰箱</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3D4145"/>
                <w:sz w:val="21"/>
                <w:szCs w:val="21"/>
                <w:u w:val="none"/>
              </w:rPr>
            </w:pPr>
            <w:r>
              <w:rPr>
                <w:rFonts w:hint="eastAsia" w:ascii="仿宋_GB2312" w:hAnsi="仿宋_GB2312" w:eastAsia="仿宋_GB2312" w:cs="仿宋_GB2312"/>
                <w:b w:val="0"/>
                <w:bCs w:val="0"/>
                <w:i w:val="0"/>
                <w:iCs w:val="0"/>
                <w:color w:val="3D4145"/>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产品特性</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1、样式：立式，双开门。</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2、有效容积：</w:t>
            </w:r>
            <w:r>
              <w:rPr>
                <w:rStyle w:val="14"/>
                <w:rFonts w:hint="eastAsia" w:ascii="仿宋_GB2312" w:hAnsi="仿宋_GB2312" w:eastAsia="仿宋_GB2312" w:cs="仿宋_GB2312"/>
                <w:b w:val="0"/>
                <w:bCs w:val="0"/>
                <w:sz w:val="21"/>
                <w:szCs w:val="21"/>
                <w:lang w:val="en-US" w:eastAsia="zh-CN" w:bidi="ar"/>
              </w:rPr>
              <w:t>≧</w:t>
            </w:r>
            <w:r>
              <w:rPr>
                <w:rStyle w:val="9"/>
                <w:rFonts w:hint="eastAsia" w:ascii="仿宋_GB2312" w:hAnsi="仿宋_GB2312" w:eastAsia="仿宋_GB2312" w:cs="仿宋_GB2312"/>
                <w:b w:val="0"/>
                <w:bCs w:val="0"/>
                <w:sz w:val="21"/>
                <w:szCs w:val="21"/>
                <w:lang w:val="en-US" w:eastAsia="zh-CN" w:bidi="ar"/>
              </w:rPr>
              <w:t>1000升；</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3、外部尺寸（宽×深×高）：1225x795x1980 mm（允许偏差±20mm）；</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4、内部尺寸（宽×深×高）：1105x640x1490 mm（允许偏差±20mm）；</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6、门体配备：采用半发泡钢化玻璃门，最大程度保温，同时具备玻璃视窗方便观察内部情况。配备电加热放凝露设计，保证门体高温高湿环境下无凝露；</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7、箱体外部材质：喷涂钢板，防腐蚀、抗氧化、易清洁；</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8、内胆材质：采用喷涂钢板材料，耐腐蚀，易清洁；</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9、层架数量：配备12个可调节高度层架；</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10、保温材料：整体采购高密度聚氨酯发泡箱体；</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11、外门配有拉手，方便门体开启；</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12、电压范围：宽电压设计，在187V～242V范围内正常使用；</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13、产品配备4个万向脚轮，脚轮可锁定，保证设备摆放稳定；</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14、噪音值：整体设备噪音值不高于60dB(A)（声功率）；</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15、温度设置范围： 2—8℃；</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16、温度设置精度：温度设置精度0.1℃；</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17、显示控制器类型： 微电脑控制,精准控温， 箱内温度控制在2℃～8℃范围内，温度显示精确至0.1℃；</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18、压缩机情况：采用进口品牌压缩机，制冷性能稳定性、安全性高；</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19、压缩机采用顶置安装，避免箱体底部出现台阶，浪费使用空间。</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20、产品采用大风量风机以及高性能蒸发器，25℃环温下，降温至特性点温度时间不高于40min；</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21、制冷剂情况：环保无氟制冷剂；</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22、温度均匀度：大风机和分层送风技术，确保温度均匀性和波动均匀度不高于1.5℃；</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23、温度波动性：配备至少5个传感器，控温精准，波动值不高于1.5℃；</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24、风机：采用国际知名品牌蒸发风机，保证运行低噪稳定；</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25、蒸发器及制冷方式：采用高性能翅片蒸发器真风冷制冷，确保温度均匀；</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26、多重报警功能：超温报警、开门报警、传感器故障报警、断电报警、后备电池电量低报警；</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27、三种报警方式：声音蜂鸣，LED显示闪烁，远程报警（需另接选配报警设备）；</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28、多重保护功能：压缩机开机延时启动保护；压缩机停机间隔保护；控制器密码保护，防止参数随意调整；</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29、配备两个温度模拟感温盒，模拟物品储存温度，确保温度数据显示与储存温度一致；</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30、配套打印机接口，选配打印机直接打印温度数据；</w:t>
            </w:r>
          </w:p>
          <w:p>
            <w:pPr>
              <w:keepNext w:val="0"/>
              <w:keepLines w:val="0"/>
              <w:widowControl/>
              <w:suppressLineNumbers w:val="0"/>
              <w:jc w:val="left"/>
              <w:textAlignment w:val="center"/>
              <w:rPr>
                <w:rStyle w:val="9"/>
                <w:rFonts w:hint="eastAsia" w:ascii="仿宋_GB2312" w:hAnsi="仿宋_GB2312" w:eastAsia="仿宋_GB2312" w:cs="仿宋_GB2312"/>
                <w:b w:val="0"/>
                <w:bCs w:val="0"/>
                <w:sz w:val="21"/>
                <w:szCs w:val="21"/>
                <w:lang w:val="en-US" w:eastAsia="zh-CN" w:bidi="ar"/>
              </w:rPr>
            </w:pPr>
            <w:r>
              <w:rPr>
                <w:rStyle w:val="9"/>
                <w:rFonts w:hint="eastAsia" w:ascii="仿宋_GB2312" w:hAnsi="仿宋_GB2312" w:eastAsia="仿宋_GB2312" w:cs="仿宋_GB2312"/>
                <w:b w:val="0"/>
                <w:bCs w:val="0"/>
                <w:sz w:val="21"/>
                <w:szCs w:val="21"/>
                <w:lang w:val="en-US" w:eastAsia="zh-CN" w:bidi="ar"/>
              </w:rPr>
              <w:t>31、测试孔：标配1个测试孔；</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Style w:val="9"/>
                <w:rFonts w:hint="eastAsia" w:ascii="仿宋_GB2312" w:hAnsi="仿宋_GB2312" w:eastAsia="仿宋_GB2312" w:cs="仿宋_GB2312"/>
                <w:b w:val="0"/>
                <w:bCs w:val="0"/>
                <w:sz w:val="21"/>
                <w:szCs w:val="21"/>
                <w:lang w:val="en-US" w:eastAsia="zh-CN" w:bidi="ar"/>
              </w:rPr>
              <w:t>32、温度数据记录： 标配USB数据导出模块，同步记录箱内温度数据；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4" w:hRule="atLeast"/>
          <w:jc w:val="center"/>
        </w:trPr>
        <w:tc>
          <w:tcPr>
            <w:tcW w:w="33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80</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模拟检验科</w:t>
            </w:r>
          </w:p>
        </w:tc>
        <w:tc>
          <w:tcPr>
            <w:tcW w:w="377" w:type="pct"/>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A306</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血细胞分析仪器</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一、技术要求：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1、仪器功能：一次进样同时进行血细胞五分类检测和C-反应蛋白检测（五分类血液细胞分析仪+FR-CRP反应一体机）。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2、检测原理：多角度激光散射法对白细胞进行分类检测，采用免疫比浊法进行C-反应蛋白（CRP）测定。</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3、测量参数：可提供≥25项可报告参数（不含散点图和直方图及研究性参数），2个三维散点图，2个二维散点图，5个直方图。</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4、仪器具有网织红细胞检测功能，提供≥3项参数（ RETIC-ABS，RETIC，IRF）。</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5、进样方式：封闭穿刺进样，开放进样。</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6、进样模式：具有独立的静脉全血、末梢全血、预稀释血检测模式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7、检测速度：全血模式最高检测速度不低于70个样本/小时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8、样本用量：全血：CRP模式≤25μl，静脉全血测试单次样本用量≤43μl；预稀释测试单次样本用量≤20μl</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9、分析模式：血常规+五分类；血常规+五分类+难溶红细胞；血常规+五分类+CRP；完全血细胞计数；CRP</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10、具有原厂配套质控和校准品。</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11、试剂储存：仪器自带制冷功能存放CRP测试试剂，无需冰箱存储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12、数据储存：≥100万份，具有数据增量备份，数据迁移功能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13、线性范围：WBC：0.00×109/L～400.00×109/L，RBC：0.00×1012/L～8.00×1012/L，HGB：0 g/L～300g/L，PLT：0×109/L～5000×109/L，FR-CRP：0.20mg/L～320.00mg/L</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14、重复性误差：WBC≤2.0%，RBC≤1.5%，HGB≤1.5%，PLT≤5.0%，MCV≤1.0%，HCT≤3.0%，FR-CRP≤4.0%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15、携带污染率：WBC≤0.5%，RBC≤0.5%，HGB≤1%，PLT≤1.0%，FR-CRP≤1%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16、维护与保养：具备采样针自动清洗、液路定时清洗及开关机自动清洗功能；具备高压灼烧、正负压反冲、 浸泡及智能反冲的排堵功能。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17、校准与质控：具备校准物校准、新鲜血校准等自动校准和人工校准模式；具有L-J，X，X-R，X-B共四种 质控模式，仪器根据测试值自动绘制质控图。</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18、单位转换：各参数的显示单位可依据临床需要进行选择和设置。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19、异常提示：具有提示难溶性红细胞及异常细胞报警功能。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20、报警提示：具有参数异常报警、试剂检测报警、故障提示报警、系统自动诊断及一键消除的功能。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21、配置：可选择外置打印机或内置记录仪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5"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81</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全生化自动分析仪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 主要技术性能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2.1 检测速度 生化比色分析恒速≥400 测试/小时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加电解质速度最大≥600测试/小时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2.2 检测方法 要求具备终点法，两点法，速率法，免疫比浊法，电极法等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2.3 定标方法 单点线性、两点线性、多点线性、非线性，具有至少6种定标公式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2.4 急诊检测能力 急诊样本可以随时插入并优先检测</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2.5 待机功能 具有24小时连续开机，自动休眠和一键启动功能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2.6 最大同时在线分析项目 ≥81项（78项生化，3项电解质）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 光学系统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3.1 光源 长寿命卤素灯，光源灯自动休眠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3.2 分光方式 全封闭静态阵列式斩波后分光方式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3.3 波长数量及范围 波长数量≥10个，预留2个空位；波长范围要求340-800nm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3.4 吸光度测试范围 0-5.0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3.5 吸光度分辨率 0.0001Abs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3.6 杂散光 当测定波长位340nm时，吸光度≥4.0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 温控系统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4.1 反应盘温控方式 非水浴免维护免保养的恒温方式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 样本系统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5.1 进样方式 智能灵活，圆盘式进样</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5.2 样本针功能 液面感应、随量跟踪功能，具备立体防撞、自动保护功能。可选配样本针堵针自动检测功能（凝块检测功能）。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5.3 样本量 2ul–35 ul，递增≤0.05ul</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5.4 样本位 ≥78样本（不含软件扩展位）</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5.5 样本类型 血清、血浆、尿液、脑脊液等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5.6 携带污染率 ≤0.1%</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5.7 样本管 原始采血管或其他试管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 试剂系统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6.1 试剂量 10ul–300 ul，递增≤0.5ul</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6.2 试剂位 ≥80个 </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6.3 试剂冷藏 24小时独立冷藏系统，冷藏温度2℃～8℃</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6.4 试剂开放性 可原厂试剂进行配套，也可完全开放</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6.5 条码功能 具有试剂条码扫描功能，支持至少5种条码规则</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6.6试剂扩容技术 具有多个项目同一试剂测试功能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6.7 备用试剂位 同一项目可安排三个试剂位，第一个报警缺少试剂时自动到第二试剂位抽取试剂，第二个报警缺少试剂时自动到第三试剂位抽取试剂。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6.8 溯源体系 提供与仪器同品牌配套的复合校准品和质控品的注册证，且复合校准品的项目数量≥25种。校准品应能提供可溯源性文件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 反应系统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7.1 反应位及杯材质 ≥90个透紫硬质材料反应杯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7.2 最小反应体积 ≤150ul</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 清洗及搅拌系统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8.1 清洗用水 采用恒温去离子水清洗</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8.2 清洗功能 针对高污染项目，项目间可插入独立清洗，确保反应杯的洁净。</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8.4 耗水量 ≤12L/H</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8.3 搅拌系统 搅拌针≥2个，加入试剂后立即混匀，试剂样本针具有内外镜面抛光技术，减少污染携带率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 软件系统</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9.1 软件管理功能 多级权限管理，保证数据信息安全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9.2 监控功能 比色杯在线监控，实时杯空白，可实时显示项目反应全部过程，测试过程可自动跳过不合格的比色杯并标记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9.3 预稀释/重测功能 软件可自动识别底物耗尽、超线性范围等样本，对此类样本自动样本重测、预稀释重测，稀释倍数≥250倍</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9.4 数据重置功能 对于测试异常样本（底物耗尽、超线性范围等）能够再次选择测量点，重新计算而无需重新检测</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9.5 酶线性核查、拓展功能 自动核查搜索酶线性反应区间，自动获得真实结果</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 商务条款</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10.1 安装培训 免费安装、调试、人员培训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6"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82</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尿液肝化学分析仪</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 测定项目（12项） 白细胞、隐血、葡萄糖、亚硝酸盐、酮体、胆红素、尿胆原、PH、VC、 比重、蛋白质、微量白蛋白、颜色</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2 工作原理 反射光电比色法</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3 环境温度自动修正 有温度传感器，能自动修正温度对结果的影响</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4 波长 三波长</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5 试纸舱容量 ≥300条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6 样本容纳数≥ 50个</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7 所需样本量 ≥2ml</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8 检测速度 240样本/小时</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9 进样方式 点阵式点样</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10 急诊功能 具有急诊插入功能，随时进行急诊样本检测</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11 显示器≥8英寸液晶触摸屏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12 储存结果 300G以上大容量硬盘，1000万个以上标本信息</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13 打印方式 内置热敏打印机，可外接任何型号打印机</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14 数据通讯 RS-232接口、USB接口、网络接口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20" w:hRule="atLeast"/>
          <w:jc w:val="center"/>
        </w:trPr>
        <w:tc>
          <w:tcPr>
            <w:tcW w:w="3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i w:val="0"/>
                <w:iCs w:val="0"/>
                <w:color w:val="000000"/>
                <w:kern w:val="0"/>
                <w:sz w:val="22"/>
                <w:szCs w:val="22"/>
                <w:u w:val="none"/>
                <w:lang w:val="en-US" w:eastAsia="zh-CN" w:bidi="ar"/>
              </w:rPr>
              <w:t>83</w:t>
            </w:r>
          </w:p>
        </w:tc>
        <w:tc>
          <w:tcPr>
            <w:tcW w:w="23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仿宋_GB2312" w:hAnsi="仿宋_GB2312" w:eastAsia="仿宋_GB2312" w:cs="仿宋_GB2312"/>
                <w:b w:val="0"/>
                <w:bCs w:val="0"/>
                <w:i w:val="0"/>
                <w:iCs w:val="0"/>
                <w:color w:val="000000"/>
                <w:sz w:val="21"/>
                <w:szCs w:val="21"/>
                <w:u w:val="none"/>
              </w:rPr>
            </w:pPr>
          </w:p>
        </w:tc>
        <w:tc>
          <w:tcPr>
            <w:tcW w:w="5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PCR</w:t>
            </w:r>
          </w:p>
        </w:tc>
        <w:tc>
          <w:tcPr>
            <w:tcW w:w="3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1</w:t>
            </w:r>
          </w:p>
        </w:tc>
        <w:tc>
          <w:tcPr>
            <w:tcW w:w="25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台</w:t>
            </w:r>
          </w:p>
        </w:tc>
        <w:tc>
          <w:tcPr>
            <w:tcW w:w="291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产品特点</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产品应用 本产品用于运行实时荧光PCR实验（Real-time PCR）并对实验数据进行分析，是在实验室内操作，配合相应试剂，对样本中的目标核酸（DNA/RNA）进行快速、准确的定量、定性检测。</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运行原理 工作原理：与适配试剂配合使用，在PCR反应体系中加入荧光基因；根据设定的运行参数，遵循聚合酶链反应规律，通过温控系统完成高温变性、低温复性、适温延伸的热循环，1～2小时就能将待测目标基因扩增放大几百万倍；利用光电系统实时采集扩增过程中产生的荧光信号，利用荧光信号累积实时监测整个PCR进程，通过对荧光信号的分析，实现对目标核苷酸的定性、定量判断。</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操作方式 上位机软件操作，系统要求：WIN10，x64，屏幕分辨率：≥1920*1080</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操作语言 上位机软件可进行中/英文两种操作语言切换</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精确控制 上位机软件界面简单易懂，实时显示程序运行状态</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温度控制 根据需求自定义实验温度</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温度保持 具有温度控制及保持功能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自由编程 上位机软件具有强大的程序编辑功能，满足不同试剂需求</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快速实验 快速升降温，有效缩短实验时间</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稳定可靠 实验全程软件控制，避免人工操作引起的差异及错误，结果稳定，重复性好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试剂开放 开放试剂平台，满足仪器通道的PCR试剂均可用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安全锁 运输锁功能，避免因运输过程造成的损伤</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常规参数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电源规格 电源：AC100/220V ～50/60Hz，额定功率：700W</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通讯接口 USB</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热学参数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热循环方式 Peltier（帕尔贴）</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控温模式 模块控温</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模块最大升温速率 7.0℃/s</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模块温度范围 4℃～105℃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热盖温度 恒温100℃，无需设置</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热盖压紧 自动压紧</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梯度功能 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梯度范围 可在4℃～105℃区间内设置梯度，梯度跨度是1℃～36℃</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温度准确性 ±0.3℃</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温度均一性 ≤0.3℃</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光学参数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激发光源 免维护单色LED</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检测装置 高灵敏光电传感器PD</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扫描方式 顶部扫描</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扫描次数 四通道只需扫描一次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适用荧光染料 通道1：FAM/SYBR Green等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通道2：VIC/JOE/HEX/TET等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通道3：ROX/Texas Red等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 xml:space="preserve"> 通道4：Cy5等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检测参数</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样本容量≥96孔</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荧光强度检测重复性 CV≤2%</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荧光强度检测精密度 CV≤3%</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样本检测重复性 CV≤2%</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荧光强度检测线性 5个浓度梯度范围内，线性回归系数r≥0.995</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样本线性相关性 5个浓度梯度范围内，线性回归系数r≥0.994</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PCR试剂 开放试剂平台，满足仪器通道的PCR试剂均可用</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耗材规格 默认0.1ml</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耗材规格 0.1ml透明/白色PCR单管、8联管；</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0.1ml透明/白色PCR 96孔板；</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平顶透明光学试管盖或透明封板膜，无裙边。</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界面 中、英文</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功能 绝对定量、相对定量、熔解曲线、基因分型、结果自动分析等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动态显示 温度瞬时变化曲线、荧光扩增曲线</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报告 可保存PDF文件，打印功能</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kern w:val="0"/>
                <w:sz w:val="21"/>
                <w:szCs w:val="21"/>
                <w:u w:val="none"/>
                <w:lang w:val="en-US" w:eastAsia="zh-CN" w:bidi="ar"/>
              </w:rPr>
            </w:pPr>
            <w:r>
              <w:rPr>
                <w:rFonts w:hint="eastAsia" w:ascii="仿宋_GB2312" w:hAnsi="仿宋_GB2312" w:eastAsia="仿宋_GB2312" w:cs="仿宋_GB2312"/>
                <w:b w:val="0"/>
                <w:bCs w:val="0"/>
                <w:i w:val="0"/>
                <w:iCs w:val="0"/>
                <w:color w:val="000000"/>
                <w:kern w:val="0"/>
                <w:sz w:val="21"/>
                <w:szCs w:val="21"/>
                <w:u w:val="none"/>
                <w:lang w:val="en-US" w:eastAsia="zh-CN" w:bidi="ar"/>
              </w:rPr>
              <w:t>故障提醒 有</w:t>
            </w:r>
          </w:p>
          <w:p>
            <w:pPr>
              <w:keepNext w:val="0"/>
              <w:keepLines w:val="0"/>
              <w:widowControl/>
              <w:suppressLineNumbers w:val="0"/>
              <w:jc w:val="left"/>
              <w:textAlignment w:val="center"/>
              <w:rPr>
                <w:rFonts w:hint="eastAsia" w:ascii="仿宋_GB2312" w:hAnsi="仿宋_GB2312" w:eastAsia="仿宋_GB2312" w:cs="仿宋_GB2312"/>
                <w:b w:val="0"/>
                <w:bCs w:val="0"/>
                <w:i w:val="0"/>
                <w:iCs w:val="0"/>
                <w:color w:val="000000"/>
                <w:sz w:val="21"/>
                <w:szCs w:val="21"/>
                <w:u w:val="none"/>
              </w:rPr>
            </w:pPr>
            <w:r>
              <w:rPr>
                <w:rFonts w:hint="eastAsia" w:ascii="仿宋_GB2312" w:hAnsi="仿宋_GB2312" w:eastAsia="仿宋_GB2312" w:cs="仿宋_GB2312"/>
                <w:b w:val="0"/>
                <w:bCs w:val="0"/>
                <w:i w:val="0"/>
                <w:iCs w:val="0"/>
                <w:color w:val="000000"/>
                <w:kern w:val="0"/>
                <w:sz w:val="21"/>
                <w:szCs w:val="21"/>
                <w:u w:val="none"/>
                <w:lang w:val="en-US" w:eastAsia="zh-CN" w:bidi="ar"/>
              </w:rPr>
              <w:t>支持系统 WIN10 X64，屏幕分辨率：≥1920*1080</w:t>
            </w:r>
          </w:p>
        </w:tc>
      </w:tr>
    </w:tbl>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326FB0"/>
    <w:multiLevelType w:val="singleLevel"/>
    <w:tmpl w:val="DD326FB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kNTJjMGQ4YmFlNzM1YWJhMGU4YzJiZWExYWJiNjUifQ=="/>
  </w:docVars>
  <w:rsids>
    <w:rsidRoot w:val="23987B59"/>
    <w:rsid w:val="23987B59"/>
    <w:rsid w:val="7DCD5805"/>
    <w:rsid w:val="7E067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customStyle="1" w:styleId="4">
    <w:name w:val="font61"/>
    <w:basedOn w:val="3"/>
    <w:autoRedefine/>
    <w:qFormat/>
    <w:uiPriority w:val="0"/>
    <w:rPr>
      <w:rFonts w:hint="eastAsia" w:ascii="楷体" w:hAnsi="楷体" w:eastAsia="楷体" w:cs="楷体"/>
      <w:b/>
      <w:bCs/>
      <w:color w:val="000000"/>
      <w:sz w:val="28"/>
      <w:szCs w:val="28"/>
      <w:u w:val="none"/>
    </w:rPr>
  </w:style>
  <w:style w:type="character" w:customStyle="1" w:styleId="5">
    <w:name w:val="font151"/>
    <w:basedOn w:val="3"/>
    <w:qFormat/>
    <w:uiPriority w:val="0"/>
    <w:rPr>
      <w:rFonts w:ascii="宋体" w:hAnsi="宋体" w:eastAsia="宋体" w:cs="宋体"/>
      <w:b/>
      <w:bCs/>
      <w:color w:val="000000"/>
      <w:sz w:val="28"/>
      <w:szCs w:val="28"/>
      <w:u w:val="none"/>
    </w:rPr>
  </w:style>
  <w:style w:type="character" w:customStyle="1" w:styleId="6">
    <w:name w:val="font31"/>
    <w:basedOn w:val="3"/>
    <w:qFormat/>
    <w:uiPriority w:val="0"/>
    <w:rPr>
      <w:rFonts w:hint="eastAsia" w:ascii="宋体" w:hAnsi="宋体" w:eastAsia="宋体" w:cs="宋体"/>
      <w:b/>
      <w:bCs/>
      <w:color w:val="000000"/>
      <w:sz w:val="28"/>
      <w:szCs w:val="28"/>
      <w:u w:val="none"/>
    </w:rPr>
  </w:style>
  <w:style w:type="character" w:customStyle="1" w:styleId="7">
    <w:name w:val="font71"/>
    <w:basedOn w:val="3"/>
    <w:autoRedefine/>
    <w:qFormat/>
    <w:uiPriority w:val="0"/>
    <w:rPr>
      <w:rFonts w:hint="eastAsia" w:ascii="宋体" w:hAnsi="宋体" w:eastAsia="宋体" w:cs="宋体"/>
      <w:b/>
      <w:bCs/>
      <w:color w:val="000000"/>
      <w:sz w:val="28"/>
      <w:szCs w:val="28"/>
      <w:u w:val="none"/>
    </w:rPr>
  </w:style>
  <w:style w:type="character" w:customStyle="1" w:styleId="8">
    <w:name w:val="font161"/>
    <w:basedOn w:val="3"/>
    <w:autoRedefine/>
    <w:qFormat/>
    <w:uiPriority w:val="0"/>
    <w:rPr>
      <w:rFonts w:ascii="宋体" w:hAnsi="宋体" w:eastAsia="宋体" w:cs="宋体"/>
      <w:b/>
      <w:bCs/>
      <w:color w:val="000000"/>
      <w:sz w:val="28"/>
      <w:szCs w:val="28"/>
      <w:u w:val="none"/>
    </w:rPr>
  </w:style>
  <w:style w:type="character" w:customStyle="1" w:styleId="9">
    <w:name w:val="font11"/>
    <w:basedOn w:val="3"/>
    <w:autoRedefine/>
    <w:qFormat/>
    <w:uiPriority w:val="0"/>
    <w:rPr>
      <w:rFonts w:hint="eastAsia" w:ascii="宋体" w:hAnsi="宋体" w:eastAsia="宋体" w:cs="宋体"/>
      <w:color w:val="000000"/>
      <w:sz w:val="20"/>
      <w:szCs w:val="20"/>
      <w:u w:val="none"/>
    </w:rPr>
  </w:style>
  <w:style w:type="character" w:customStyle="1" w:styleId="10">
    <w:name w:val="font171"/>
    <w:basedOn w:val="3"/>
    <w:autoRedefine/>
    <w:qFormat/>
    <w:uiPriority w:val="0"/>
    <w:rPr>
      <w:rFonts w:hint="eastAsia" w:ascii="宋体" w:hAnsi="宋体" w:eastAsia="宋体" w:cs="宋体"/>
      <w:b/>
      <w:bCs/>
      <w:color w:val="333333"/>
      <w:sz w:val="28"/>
      <w:szCs w:val="28"/>
      <w:u w:val="none"/>
    </w:rPr>
  </w:style>
  <w:style w:type="character" w:customStyle="1" w:styleId="11">
    <w:name w:val="font181"/>
    <w:basedOn w:val="3"/>
    <w:autoRedefine/>
    <w:qFormat/>
    <w:uiPriority w:val="0"/>
    <w:rPr>
      <w:rFonts w:ascii="Tahoma" w:hAnsi="Tahoma" w:eastAsia="Tahoma" w:cs="Tahoma"/>
      <w:b/>
      <w:bCs/>
      <w:color w:val="333333"/>
      <w:sz w:val="28"/>
      <w:szCs w:val="28"/>
      <w:u w:val="none"/>
    </w:rPr>
  </w:style>
  <w:style w:type="character" w:customStyle="1" w:styleId="12">
    <w:name w:val="font201"/>
    <w:basedOn w:val="3"/>
    <w:autoRedefine/>
    <w:qFormat/>
    <w:uiPriority w:val="0"/>
    <w:rPr>
      <w:rFonts w:ascii="宋体" w:hAnsi="宋体" w:eastAsia="宋体" w:cs="宋体"/>
      <w:b/>
      <w:bCs/>
      <w:color w:val="333333"/>
      <w:sz w:val="28"/>
      <w:szCs w:val="28"/>
      <w:u w:val="none"/>
    </w:rPr>
  </w:style>
  <w:style w:type="character" w:customStyle="1" w:styleId="13">
    <w:name w:val="font211"/>
    <w:basedOn w:val="3"/>
    <w:autoRedefine/>
    <w:qFormat/>
    <w:uiPriority w:val="0"/>
    <w:rPr>
      <w:rFonts w:hint="eastAsia" w:ascii="楷体" w:hAnsi="楷体" w:eastAsia="楷体" w:cs="楷体"/>
      <w:b/>
      <w:bCs/>
      <w:color w:val="333333"/>
      <w:sz w:val="28"/>
      <w:szCs w:val="28"/>
      <w:u w:val="none"/>
    </w:rPr>
  </w:style>
  <w:style w:type="character" w:customStyle="1" w:styleId="14">
    <w:name w:val="font222"/>
    <w:basedOn w:val="3"/>
    <w:autoRedefine/>
    <w:qFormat/>
    <w:uiPriority w:val="0"/>
    <w:rPr>
      <w:rFonts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2024-03-04T06:41:00Z</dcterms:created>
  <dc:creator>宋小词、</dc:creator>
  <cp:lastModifiedBy>宋小词、</cp:lastModifiedBy>
  <dcterms:modified xsi:type="dcterms:W3CDTF">2024-03-04T08:55:14Z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D6C813A3E9244BBE83FF9BD3CDA28725_11</vt:lpwstr>
  </property>
</Properties>
</file>